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51BF4" w14:textId="77777777" w:rsidR="00EE2C36" w:rsidRPr="008048CC" w:rsidRDefault="00EE2C36" w:rsidP="00663923">
      <w:pPr>
        <w:pStyle w:val="Title"/>
      </w:pPr>
    </w:p>
    <w:p w14:paraId="3E94358F" w14:textId="574B3455" w:rsidR="008048CC" w:rsidRPr="00C9550B" w:rsidRDefault="00891BF6" w:rsidP="00663923">
      <w:pPr>
        <w:pStyle w:val="Title"/>
        <w:sectPr w:rsidR="008048CC" w:rsidRPr="00C9550B" w:rsidSect="00CF10C4">
          <w:headerReference w:type="even" r:id="rId8"/>
          <w:headerReference w:type="default" r:id="rId9"/>
          <w:footerReference w:type="default" r:id="rId10"/>
          <w:headerReference w:type="first" r:id="rId11"/>
          <w:pgSz w:w="11906" w:h="16838" w:code="9"/>
          <w:pgMar w:top="1440" w:right="1440" w:bottom="1440" w:left="1440" w:header="0" w:footer="709" w:gutter="0"/>
          <w:cols w:space="708"/>
          <w:titlePg/>
          <w:docGrid w:linePitch="360"/>
        </w:sectPr>
      </w:pPr>
      <w:r w:rsidRPr="00C9550B">
        <w:t>Travel by australians</w:t>
      </w:r>
      <w:r w:rsidRPr="00C9550B">
        <w:br/>
      </w:r>
    </w:p>
    <w:p w14:paraId="7D84E53C" w14:textId="77777777" w:rsidR="00E958B4" w:rsidRDefault="00E958B4" w:rsidP="00C9305E">
      <w:pPr>
        <w:pStyle w:val="Heading2"/>
      </w:pPr>
    </w:p>
    <w:p w14:paraId="7EA03E3B" w14:textId="29B0596C" w:rsidR="009E5880" w:rsidRPr="004B18EE" w:rsidRDefault="009E5880" w:rsidP="00C9305E">
      <w:pPr>
        <w:pStyle w:val="Heading2"/>
      </w:pPr>
      <w:r w:rsidRPr="00C9305E">
        <w:t xml:space="preserve">Year Ending </w:t>
      </w:r>
      <w:r w:rsidR="00A72EA8" w:rsidRPr="00C9305E">
        <w:t>MARCH 2021</w:t>
      </w:r>
    </w:p>
    <w:tbl>
      <w:tblPr>
        <w:tblStyle w:val="LightList-Accent5"/>
        <w:tblpPr w:leftFromText="180" w:rightFromText="180" w:vertAnchor="text" w:horzAnchor="margin" w:tblpY="112"/>
        <w:tblW w:w="9425" w:type="dxa"/>
        <w:tblBorders>
          <w:top w:val="none" w:sz="0" w:space="0" w:color="auto"/>
          <w:left w:val="none" w:sz="0" w:space="0" w:color="auto"/>
          <w:right w:val="none" w:sz="0" w:space="0" w:color="auto"/>
          <w:insideH w:val="single" w:sz="6" w:space="0" w:color="ACA6A2" w:themeColor="accent5"/>
        </w:tblBorders>
        <w:tblLook w:val="06A0" w:firstRow="1" w:lastRow="0" w:firstColumn="1" w:lastColumn="0" w:noHBand="1" w:noVBand="1"/>
        <w:tblCaption w:val="Year Ending September 2020 Results"/>
      </w:tblPr>
      <w:tblGrid>
        <w:gridCol w:w="1568"/>
        <w:gridCol w:w="1573"/>
        <w:gridCol w:w="1569"/>
        <w:gridCol w:w="1573"/>
        <w:gridCol w:w="1568"/>
        <w:gridCol w:w="1574"/>
      </w:tblGrid>
      <w:tr w:rsidR="009E5880" w14:paraId="554A9903" w14:textId="77777777" w:rsidTr="00981CB0">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3141" w:type="dxa"/>
            <w:gridSpan w:val="2"/>
          </w:tcPr>
          <w:p w14:paraId="64806C2C" w14:textId="77777777" w:rsidR="009E5880" w:rsidRPr="00B17926" w:rsidRDefault="009E5880" w:rsidP="00C57877">
            <w:pPr>
              <w:rPr>
                <w:b/>
                <w:sz w:val="24"/>
              </w:rPr>
            </w:pPr>
            <w:r w:rsidRPr="00041B38">
              <w:rPr>
                <w:b/>
                <w:sz w:val="24"/>
              </w:rPr>
              <w:t>OVERNIGHT SPEND</w:t>
            </w:r>
          </w:p>
        </w:tc>
        <w:tc>
          <w:tcPr>
            <w:tcW w:w="3142" w:type="dxa"/>
            <w:gridSpan w:val="2"/>
          </w:tcPr>
          <w:p w14:paraId="2DC2AEE0" w14:textId="77777777" w:rsidR="009E5880" w:rsidRPr="00B17926" w:rsidRDefault="009E5880" w:rsidP="00C57877">
            <w:pPr>
              <w:cnfStyle w:val="100000000000" w:firstRow="1" w:lastRow="0" w:firstColumn="0" w:lastColumn="0" w:oddVBand="0" w:evenVBand="0" w:oddHBand="0" w:evenHBand="0" w:firstRowFirstColumn="0" w:firstRowLastColumn="0" w:lastRowFirstColumn="0" w:lastRowLastColumn="0"/>
              <w:rPr>
                <w:b/>
                <w:sz w:val="24"/>
              </w:rPr>
            </w:pPr>
            <w:r w:rsidRPr="00041B38">
              <w:rPr>
                <w:b/>
                <w:sz w:val="24"/>
              </w:rPr>
              <w:t>OVERNIGHT TRIPS</w:t>
            </w:r>
          </w:p>
        </w:tc>
        <w:tc>
          <w:tcPr>
            <w:tcW w:w="3142" w:type="dxa"/>
            <w:gridSpan w:val="2"/>
          </w:tcPr>
          <w:p w14:paraId="20BB8784" w14:textId="77777777" w:rsidR="009E5880" w:rsidRPr="00B17926" w:rsidRDefault="009E5880" w:rsidP="00C57877">
            <w:pPr>
              <w:cnfStyle w:val="100000000000" w:firstRow="1" w:lastRow="0" w:firstColumn="0" w:lastColumn="0" w:oddVBand="0" w:evenVBand="0" w:oddHBand="0" w:evenHBand="0" w:firstRowFirstColumn="0" w:firstRowLastColumn="0" w:lastRowFirstColumn="0" w:lastRowLastColumn="0"/>
              <w:rPr>
                <w:b/>
                <w:sz w:val="24"/>
              </w:rPr>
            </w:pPr>
            <w:r w:rsidRPr="00041B38">
              <w:rPr>
                <w:b/>
                <w:sz w:val="24"/>
              </w:rPr>
              <w:t>NIGHTS</w:t>
            </w:r>
          </w:p>
        </w:tc>
      </w:tr>
      <w:tr w:rsidR="00981CB0" w14:paraId="64BE6B2C" w14:textId="77777777" w:rsidTr="00981CB0">
        <w:trPr>
          <w:cnfStyle w:val="100000000000" w:firstRow="1" w:lastRow="0" w:firstColumn="0" w:lastColumn="0" w:oddVBand="0" w:evenVBand="0" w:oddHBand="0" w:evenHBand="0" w:firstRowFirstColumn="0" w:firstRowLastColumn="0" w:lastRowFirstColumn="0" w:lastRowLastColumn="0"/>
          <w:trHeight w:val="537"/>
          <w:tblHeader/>
        </w:trPr>
        <w:tc>
          <w:tcPr>
            <w:cnfStyle w:val="001000000000" w:firstRow="0" w:lastRow="0" w:firstColumn="1" w:lastColumn="0" w:oddVBand="0" w:evenVBand="0" w:oddHBand="0" w:evenHBand="0" w:firstRowFirstColumn="0" w:firstRowLastColumn="0" w:lastRowFirstColumn="0" w:lastRowLastColumn="0"/>
            <w:tcW w:w="1568" w:type="dxa"/>
            <w:shd w:val="clear" w:color="auto" w:fill="DDDBD9" w:themeFill="accent5" w:themeFillTint="66"/>
          </w:tcPr>
          <w:p w14:paraId="29DCDB90" w14:textId="77777777" w:rsidR="009E5880" w:rsidRPr="00615278" w:rsidRDefault="009E5880" w:rsidP="00C57877">
            <w:pPr>
              <w:rPr>
                <w:b/>
                <w:color w:val="auto"/>
              </w:rPr>
            </w:pPr>
            <w:r w:rsidRPr="00615278">
              <w:rPr>
                <w:b/>
                <w:color w:val="auto"/>
              </w:rPr>
              <w:t>FIGURE</w:t>
            </w:r>
          </w:p>
        </w:tc>
        <w:tc>
          <w:tcPr>
            <w:tcW w:w="1573"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18DFE421" w14:textId="77777777" w:rsidR="009E5880" w:rsidRPr="00615278" w:rsidRDefault="009E5880" w:rsidP="00C578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569" w:type="dxa"/>
            <w:tcBorders>
              <w:left w:val="single" w:sz="4" w:space="0" w:color="auto"/>
            </w:tcBorders>
            <w:shd w:val="clear" w:color="auto" w:fill="DDDBD9" w:themeFill="accent5" w:themeFillTint="66"/>
          </w:tcPr>
          <w:p w14:paraId="603F7E08" w14:textId="77777777" w:rsidR="009E5880" w:rsidRPr="00615278" w:rsidRDefault="009E5880" w:rsidP="00C578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573"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7ED2F403" w14:textId="77777777" w:rsidR="009E5880" w:rsidRPr="00615278" w:rsidRDefault="009E5880" w:rsidP="00C578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568" w:type="dxa"/>
            <w:tcBorders>
              <w:left w:val="single" w:sz="4" w:space="0" w:color="auto"/>
            </w:tcBorders>
            <w:shd w:val="clear" w:color="auto" w:fill="DDDBD9" w:themeFill="accent5" w:themeFillTint="66"/>
          </w:tcPr>
          <w:p w14:paraId="7DE801A2" w14:textId="77777777" w:rsidR="009E5880" w:rsidRPr="00615278" w:rsidRDefault="009E5880" w:rsidP="00C578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574" w:type="dxa"/>
            <w:shd w:val="clear" w:color="auto" w:fill="DDDBD9" w:themeFill="accent5" w:themeFillTint="66"/>
          </w:tcPr>
          <w:p w14:paraId="4893AF71" w14:textId="77777777" w:rsidR="009E5880" w:rsidRPr="00615278" w:rsidRDefault="009E5880" w:rsidP="00C578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r>
      <w:tr w:rsidR="00981CB0" w:rsidRPr="005C0907" w14:paraId="2907B6CB" w14:textId="77777777" w:rsidTr="00981CB0">
        <w:trPr>
          <w:cnfStyle w:val="100000000000" w:firstRow="1" w:lastRow="0" w:firstColumn="0" w:lastColumn="0" w:oddVBand="0" w:evenVBand="0" w:oddHBand="0" w:evenHBand="0" w:firstRowFirstColumn="0" w:firstRowLastColumn="0" w:lastRowFirstColumn="0" w:lastRowLastColumn="0"/>
          <w:trHeight w:val="500"/>
          <w:tblHeader/>
        </w:trPr>
        <w:tc>
          <w:tcPr>
            <w:cnfStyle w:val="001000000000" w:firstRow="0" w:lastRow="0" w:firstColumn="1" w:lastColumn="0" w:oddVBand="0" w:evenVBand="0" w:oddHBand="0" w:evenHBand="0" w:firstRowFirstColumn="0" w:firstRowLastColumn="0" w:lastRowFirstColumn="0" w:lastRowLastColumn="0"/>
            <w:tcW w:w="1568" w:type="dxa"/>
          </w:tcPr>
          <w:p w14:paraId="7822711D" w14:textId="3EF78FC3" w:rsidR="006D11C6" w:rsidRPr="00C9305E" w:rsidRDefault="006D11C6" w:rsidP="006D11C6">
            <w:pPr>
              <w:rPr>
                <w:color w:val="auto"/>
              </w:rPr>
            </w:pPr>
            <w:r w:rsidRPr="00C9305E">
              <w:rPr>
                <w:color w:val="auto"/>
              </w:rPr>
              <w:t>$</w:t>
            </w:r>
            <w:r w:rsidR="00310498" w:rsidRPr="00C9305E">
              <w:rPr>
                <w:color w:val="auto"/>
              </w:rPr>
              <w:t>45.7</w:t>
            </w:r>
            <w:r w:rsidRPr="00C9305E">
              <w:rPr>
                <w:color w:val="auto"/>
              </w:rPr>
              <w:t xml:space="preserve"> billion</w:t>
            </w:r>
          </w:p>
        </w:tc>
        <w:tc>
          <w:tcPr>
            <w:tcW w:w="1573" w:type="dxa"/>
            <w:tcBorders>
              <w:top w:val="single" w:sz="6" w:space="0" w:color="ACA6A2" w:themeColor="accent5"/>
              <w:bottom w:val="single" w:sz="8" w:space="0" w:color="ACA6A2" w:themeColor="accent5"/>
              <w:right w:val="single" w:sz="4" w:space="0" w:color="auto"/>
            </w:tcBorders>
          </w:tcPr>
          <w:p w14:paraId="5C5A6895" w14:textId="79D2A1CD" w:rsidR="006D11C6" w:rsidRPr="00C9305E" w:rsidRDefault="006D11C6" w:rsidP="006D11C6">
            <w:pPr>
              <w:cnfStyle w:val="100000000000" w:firstRow="1" w:lastRow="0" w:firstColumn="0" w:lastColumn="0" w:oddVBand="0" w:evenVBand="0" w:oddHBand="0" w:evenHBand="0" w:firstRowFirstColumn="0" w:firstRowLastColumn="0" w:lastRowFirstColumn="0" w:lastRowLastColumn="0"/>
              <w:rPr>
                <w:color w:val="auto"/>
              </w:rPr>
            </w:pPr>
            <w:r w:rsidRPr="00C9305E">
              <w:rPr>
                <w:color w:val="auto"/>
              </w:rPr>
              <w:t xml:space="preserve">Down </w:t>
            </w:r>
            <w:r w:rsidR="00310498" w:rsidRPr="00C9305E">
              <w:rPr>
                <w:color w:val="auto"/>
              </w:rPr>
              <w:t>42</w:t>
            </w:r>
            <w:r w:rsidRPr="00C9305E">
              <w:rPr>
                <w:color w:val="auto"/>
              </w:rPr>
              <w:t>%</w:t>
            </w:r>
          </w:p>
        </w:tc>
        <w:tc>
          <w:tcPr>
            <w:tcW w:w="1569" w:type="dxa"/>
            <w:tcBorders>
              <w:left w:val="single" w:sz="4" w:space="0" w:color="auto"/>
            </w:tcBorders>
          </w:tcPr>
          <w:p w14:paraId="136B107F" w14:textId="1ED9CCB4" w:rsidR="006D11C6" w:rsidRPr="00CB3A27" w:rsidRDefault="00310498" w:rsidP="006D11C6">
            <w:pPr>
              <w:cnfStyle w:val="100000000000" w:firstRow="1" w:lastRow="0" w:firstColumn="0" w:lastColumn="0" w:oddVBand="0" w:evenVBand="0" w:oddHBand="0" w:evenHBand="0" w:firstRowFirstColumn="0" w:firstRowLastColumn="0" w:lastRowFirstColumn="0" w:lastRowLastColumn="0"/>
              <w:rPr>
                <w:color w:val="auto"/>
              </w:rPr>
            </w:pPr>
            <w:r w:rsidRPr="00C9305E">
              <w:rPr>
                <w:color w:val="auto"/>
              </w:rPr>
              <w:t>72.8</w:t>
            </w:r>
            <w:r w:rsidR="006D11C6" w:rsidRPr="00C9305E">
              <w:rPr>
                <w:color w:val="auto"/>
              </w:rPr>
              <w:t xml:space="preserve"> million</w:t>
            </w:r>
          </w:p>
        </w:tc>
        <w:tc>
          <w:tcPr>
            <w:tcW w:w="1573" w:type="dxa"/>
            <w:tcBorders>
              <w:top w:val="single" w:sz="6" w:space="0" w:color="ACA6A2" w:themeColor="accent5"/>
              <w:bottom w:val="single" w:sz="8" w:space="0" w:color="ACA6A2" w:themeColor="accent5"/>
              <w:right w:val="single" w:sz="4" w:space="0" w:color="auto"/>
            </w:tcBorders>
          </w:tcPr>
          <w:p w14:paraId="0D648EFD" w14:textId="16D08666" w:rsidR="006D11C6" w:rsidRPr="00CB3A27" w:rsidRDefault="006D11C6" w:rsidP="006D11C6">
            <w:pPr>
              <w:cnfStyle w:val="100000000000" w:firstRow="1" w:lastRow="0" w:firstColumn="0" w:lastColumn="0" w:oddVBand="0" w:evenVBand="0" w:oddHBand="0" w:evenHBand="0" w:firstRowFirstColumn="0" w:firstRowLastColumn="0" w:lastRowFirstColumn="0" w:lastRowLastColumn="0"/>
              <w:rPr>
                <w:color w:val="auto"/>
              </w:rPr>
            </w:pPr>
            <w:r w:rsidRPr="00C9305E">
              <w:rPr>
                <w:color w:val="auto"/>
              </w:rPr>
              <w:t xml:space="preserve">Down </w:t>
            </w:r>
            <w:r w:rsidR="00310498" w:rsidRPr="00C9305E">
              <w:rPr>
                <w:color w:val="auto"/>
              </w:rPr>
              <w:t>35</w:t>
            </w:r>
            <w:r w:rsidRPr="00C9305E">
              <w:rPr>
                <w:color w:val="auto"/>
              </w:rPr>
              <w:t>%</w:t>
            </w:r>
          </w:p>
        </w:tc>
        <w:tc>
          <w:tcPr>
            <w:tcW w:w="1568" w:type="dxa"/>
            <w:tcBorders>
              <w:left w:val="single" w:sz="4" w:space="0" w:color="auto"/>
            </w:tcBorders>
          </w:tcPr>
          <w:p w14:paraId="65CE31E3" w14:textId="47D94C38" w:rsidR="006D11C6" w:rsidRPr="00CB3A27" w:rsidRDefault="00310498" w:rsidP="006D11C6">
            <w:pPr>
              <w:cnfStyle w:val="100000000000" w:firstRow="1" w:lastRow="0" w:firstColumn="0" w:lastColumn="0" w:oddVBand="0" w:evenVBand="0" w:oddHBand="0" w:evenHBand="0" w:firstRowFirstColumn="0" w:firstRowLastColumn="0" w:lastRowFirstColumn="0" w:lastRowLastColumn="0"/>
              <w:rPr>
                <w:color w:val="auto"/>
              </w:rPr>
            </w:pPr>
            <w:r w:rsidRPr="00C9305E">
              <w:rPr>
                <w:color w:val="auto"/>
              </w:rPr>
              <w:t>281.1</w:t>
            </w:r>
            <w:r w:rsidR="006D11C6" w:rsidRPr="00C9305E">
              <w:rPr>
                <w:color w:val="auto"/>
              </w:rPr>
              <w:t xml:space="preserve"> million</w:t>
            </w:r>
          </w:p>
        </w:tc>
        <w:tc>
          <w:tcPr>
            <w:tcW w:w="1574" w:type="dxa"/>
          </w:tcPr>
          <w:p w14:paraId="325CB139" w14:textId="24F72065" w:rsidR="006D11C6" w:rsidRPr="00C9305E" w:rsidRDefault="006D11C6" w:rsidP="006D11C6">
            <w:pPr>
              <w:cnfStyle w:val="100000000000" w:firstRow="1" w:lastRow="0" w:firstColumn="0" w:lastColumn="0" w:oddVBand="0" w:evenVBand="0" w:oddHBand="0" w:evenHBand="0" w:firstRowFirstColumn="0" w:firstRowLastColumn="0" w:lastRowFirstColumn="0" w:lastRowLastColumn="0"/>
              <w:rPr>
                <w:color w:val="auto"/>
              </w:rPr>
            </w:pPr>
            <w:r w:rsidRPr="00C9305E">
              <w:rPr>
                <w:color w:val="auto"/>
              </w:rPr>
              <w:t xml:space="preserve">Down </w:t>
            </w:r>
            <w:r w:rsidR="00310498" w:rsidRPr="00C9305E">
              <w:rPr>
                <w:color w:val="auto"/>
              </w:rPr>
              <w:t>31</w:t>
            </w:r>
            <w:r w:rsidRPr="00C9305E">
              <w:rPr>
                <w:color w:val="auto"/>
              </w:rPr>
              <w:t>%</w:t>
            </w:r>
          </w:p>
        </w:tc>
      </w:tr>
    </w:tbl>
    <w:p w14:paraId="725B47C2" w14:textId="77777777" w:rsidR="00E958B4" w:rsidRDefault="00E958B4" w:rsidP="00DD3835">
      <w:pPr>
        <w:spacing w:after="120"/>
      </w:pPr>
    </w:p>
    <w:p w14:paraId="3F6F6B88" w14:textId="77777777" w:rsidR="006165D2" w:rsidRDefault="006165D2" w:rsidP="006165D2">
      <w:pPr>
        <w:pStyle w:val="Heading2"/>
      </w:pPr>
      <w:r w:rsidRPr="00C9305E">
        <w:t>MARCH QUARTER 2021</w:t>
      </w:r>
    </w:p>
    <w:tbl>
      <w:tblPr>
        <w:tblStyle w:val="LightList-Accent5"/>
        <w:tblpPr w:leftFromText="180" w:rightFromText="180" w:vertAnchor="text" w:horzAnchor="margin" w:tblpY="112"/>
        <w:tblW w:w="9425" w:type="dxa"/>
        <w:tblBorders>
          <w:top w:val="none" w:sz="0" w:space="0" w:color="auto"/>
          <w:left w:val="none" w:sz="0" w:space="0" w:color="auto"/>
          <w:right w:val="none" w:sz="0" w:space="0" w:color="auto"/>
          <w:insideH w:val="single" w:sz="6" w:space="0" w:color="ACA6A2" w:themeColor="accent5"/>
        </w:tblBorders>
        <w:tblLook w:val="06A0" w:firstRow="1" w:lastRow="0" w:firstColumn="1" w:lastColumn="0" w:noHBand="1" w:noVBand="1"/>
        <w:tblCaption w:val="Year Ending September 2020 Results"/>
      </w:tblPr>
      <w:tblGrid>
        <w:gridCol w:w="1568"/>
        <w:gridCol w:w="1573"/>
        <w:gridCol w:w="1569"/>
        <w:gridCol w:w="1573"/>
        <w:gridCol w:w="1568"/>
        <w:gridCol w:w="1574"/>
      </w:tblGrid>
      <w:tr w:rsidR="006165D2" w14:paraId="58EB7A1C" w14:textId="77777777" w:rsidTr="00C618F4">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3141" w:type="dxa"/>
            <w:gridSpan w:val="2"/>
          </w:tcPr>
          <w:p w14:paraId="307D2749" w14:textId="77777777" w:rsidR="006165D2" w:rsidRPr="00B17926" w:rsidRDefault="006165D2" w:rsidP="00C618F4">
            <w:pPr>
              <w:rPr>
                <w:b/>
                <w:sz w:val="24"/>
              </w:rPr>
            </w:pPr>
            <w:r w:rsidRPr="00041B38">
              <w:rPr>
                <w:b/>
                <w:sz w:val="24"/>
              </w:rPr>
              <w:t>OVERNIGHT SPEND</w:t>
            </w:r>
          </w:p>
        </w:tc>
        <w:tc>
          <w:tcPr>
            <w:tcW w:w="3142" w:type="dxa"/>
            <w:gridSpan w:val="2"/>
          </w:tcPr>
          <w:p w14:paraId="4C58DE0E" w14:textId="77777777" w:rsidR="006165D2" w:rsidRPr="00B17926" w:rsidRDefault="006165D2" w:rsidP="00C618F4">
            <w:pPr>
              <w:cnfStyle w:val="100000000000" w:firstRow="1" w:lastRow="0" w:firstColumn="0" w:lastColumn="0" w:oddVBand="0" w:evenVBand="0" w:oddHBand="0" w:evenHBand="0" w:firstRowFirstColumn="0" w:firstRowLastColumn="0" w:lastRowFirstColumn="0" w:lastRowLastColumn="0"/>
              <w:rPr>
                <w:b/>
                <w:sz w:val="24"/>
              </w:rPr>
            </w:pPr>
            <w:r w:rsidRPr="00041B38">
              <w:rPr>
                <w:b/>
                <w:sz w:val="24"/>
              </w:rPr>
              <w:t>OVERNIGHT TRIPS</w:t>
            </w:r>
          </w:p>
        </w:tc>
        <w:tc>
          <w:tcPr>
            <w:tcW w:w="3142" w:type="dxa"/>
            <w:gridSpan w:val="2"/>
          </w:tcPr>
          <w:p w14:paraId="084BA451" w14:textId="77777777" w:rsidR="006165D2" w:rsidRPr="00B17926" w:rsidRDefault="006165D2" w:rsidP="00C618F4">
            <w:pPr>
              <w:cnfStyle w:val="100000000000" w:firstRow="1" w:lastRow="0" w:firstColumn="0" w:lastColumn="0" w:oddVBand="0" w:evenVBand="0" w:oddHBand="0" w:evenHBand="0" w:firstRowFirstColumn="0" w:firstRowLastColumn="0" w:lastRowFirstColumn="0" w:lastRowLastColumn="0"/>
              <w:rPr>
                <w:b/>
                <w:sz w:val="24"/>
              </w:rPr>
            </w:pPr>
            <w:r w:rsidRPr="00041B38">
              <w:rPr>
                <w:b/>
                <w:sz w:val="24"/>
              </w:rPr>
              <w:t>NIGHTS</w:t>
            </w:r>
          </w:p>
        </w:tc>
      </w:tr>
      <w:tr w:rsidR="006165D2" w14:paraId="432B5ABF" w14:textId="77777777" w:rsidTr="00C618F4">
        <w:trPr>
          <w:cnfStyle w:val="100000000000" w:firstRow="1" w:lastRow="0" w:firstColumn="0" w:lastColumn="0" w:oddVBand="0" w:evenVBand="0" w:oddHBand="0" w:evenHBand="0" w:firstRowFirstColumn="0" w:firstRowLastColumn="0" w:lastRowFirstColumn="0" w:lastRowLastColumn="0"/>
          <w:trHeight w:val="537"/>
          <w:tblHeader/>
        </w:trPr>
        <w:tc>
          <w:tcPr>
            <w:cnfStyle w:val="001000000000" w:firstRow="0" w:lastRow="0" w:firstColumn="1" w:lastColumn="0" w:oddVBand="0" w:evenVBand="0" w:oddHBand="0" w:evenHBand="0" w:firstRowFirstColumn="0" w:firstRowLastColumn="0" w:lastRowFirstColumn="0" w:lastRowLastColumn="0"/>
            <w:tcW w:w="1568" w:type="dxa"/>
            <w:shd w:val="clear" w:color="auto" w:fill="DDDBD9" w:themeFill="accent5" w:themeFillTint="66"/>
          </w:tcPr>
          <w:p w14:paraId="5CB87756" w14:textId="77777777" w:rsidR="006165D2" w:rsidRPr="00615278" w:rsidRDefault="006165D2" w:rsidP="00C618F4">
            <w:pPr>
              <w:rPr>
                <w:b/>
                <w:color w:val="auto"/>
              </w:rPr>
            </w:pPr>
            <w:r w:rsidRPr="00615278">
              <w:rPr>
                <w:b/>
                <w:color w:val="auto"/>
              </w:rPr>
              <w:t>FIGURE</w:t>
            </w:r>
          </w:p>
        </w:tc>
        <w:tc>
          <w:tcPr>
            <w:tcW w:w="1573"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2BC6FF0D" w14:textId="77777777" w:rsidR="006165D2" w:rsidRPr="00615278" w:rsidRDefault="006165D2" w:rsidP="00C618F4">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569" w:type="dxa"/>
            <w:tcBorders>
              <w:left w:val="single" w:sz="4" w:space="0" w:color="auto"/>
            </w:tcBorders>
            <w:shd w:val="clear" w:color="auto" w:fill="DDDBD9" w:themeFill="accent5" w:themeFillTint="66"/>
          </w:tcPr>
          <w:p w14:paraId="0C336347" w14:textId="77777777" w:rsidR="006165D2" w:rsidRPr="00615278" w:rsidRDefault="006165D2" w:rsidP="00C618F4">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573"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2A744E32" w14:textId="77777777" w:rsidR="006165D2" w:rsidRPr="00615278" w:rsidRDefault="006165D2" w:rsidP="00C618F4">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568" w:type="dxa"/>
            <w:tcBorders>
              <w:left w:val="single" w:sz="4" w:space="0" w:color="auto"/>
            </w:tcBorders>
            <w:shd w:val="clear" w:color="auto" w:fill="DDDBD9" w:themeFill="accent5" w:themeFillTint="66"/>
          </w:tcPr>
          <w:p w14:paraId="4AE89EDE" w14:textId="77777777" w:rsidR="006165D2" w:rsidRPr="00615278" w:rsidRDefault="006165D2" w:rsidP="00C618F4">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574" w:type="dxa"/>
            <w:shd w:val="clear" w:color="auto" w:fill="DDDBD9" w:themeFill="accent5" w:themeFillTint="66"/>
          </w:tcPr>
          <w:p w14:paraId="59238828" w14:textId="77777777" w:rsidR="006165D2" w:rsidRPr="00615278" w:rsidRDefault="006165D2" w:rsidP="00C618F4">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r>
      <w:tr w:rsidR="006165D2" w:rsidRPr="005C0907" w14:paraId="58086280" w14:textId="77777777" w:rsidTr="00C618F4">
        <w:trPr>
          <w:cnfStyle w:val="100000000000" w:firstRow="1" w:lastRow="0" w:firstColumn="0" w:lastColumn="0" w:oddVBand="0" w:evenVBand="0" w:oddHBand="0" w:evenHBand="0" w:firstRowFirstColumn="0" w:firstRowLastColumn="0" w:lastRowFirstColumn="0" w:lastRowLastColumn="0"/>
          <w:trHeight w:val="500"/>
          <w:tblHeader/>
        </w:trPr>
        <w:tc>
          <w:tcPr>
            <w:cnfStyle w:val="001000000000" w:firstRow="0" w:lastRow="0" w:firstColumn="1" w:lastColumn="0" w:oddVBand="0" w:evenVBand="0" w:oddHBand="0" w:evenHBand="0" w:firstRowFirstColumn="0" w:firstRowLastColumn="0" w:lastRowFirstColumn="0" w:lastRowLastColumn="0"/>
            <w:tcW w:w="1568" w:type="dxa"/>
          </w:tcPr>
          <w:p w14:paraId="714520A8" w14:textId="77777777" w:rsidR="006165D2" w:rsidRPr="00C9305E" w:rsidRDefault="006165D2" w:rsidP="00C618F4">
            <w:pPr>
              <w:rPr>
                <w:color w:val="auto"/>
              </w:rPr>
            </w:pPr>
            <w:r w:rsidRPr="00C9305E">
              <w:rPr>
                <w:color w:val="auto"/>
              </w:rPr>
              <w:t>$17.9 billion</w:t>
            </w:r>
          </w:p>
        </w:tc>
        <w:tc>
          <w:tcPr>
            <w:tcW w:w="1573" w:type="dxa"/>
            <w:tcBorders>
              <w:top w:val="single" w:sz="6" w:space="0" w:color="ACA6A2" w:themeColor="accent5"/>
              <w:bottom w:val="single" w:sz="8" w:space="0" w:color="ACA6A2" w:themeColor="accent5"/>
              <w:right w:val="single" w:sz="4" w:space="0" w:color="auto"/>
            </w:tcBorders>
          </w:tcPr>
          <w:p w14:paraId="0402D3FB" w14:textId="77777777" w:rsidR="006165D2" w:rsidRPr="00C9305E" w:rsidRDefault="006165D2" w:rsidP="00C618F4">
            <w:pPr>
              <w:cnfStyle w:val="100000000000" w:firstRow="1" w:lastRow="0" w:firstColumn="0" w:lastColumn="0" w:oddVBand="0" w:evenVBand="0" w:oddHBand="0" w:evenHBand="0" w:firstRowFirstColumn="0" w:firstRowLastColumn="0" w:lastRowFirstColumn="0" w:lastRowLastColumn="0"/>
              <w:rPr>
                <w:color w:val="auto"/>
              </w:rPr>
            </w:pPr>
            <w:r w:rsidRPr="00C9305E">
              <w:rPr>
                <w:color w:val="auto"/>
              </w:rPr>
              <w:t>No change</w:t>
            </w:r>
          </w:p>
        </w:tc>
        <w:tc>
          <w:tcPr>
            <w:tcW w:w="1569" w:type="dxa"/>
            <w:tcBorders>
              <w:left w:val="single" w:sz="4" w:space="0" w:color="auto"/>
            </w:tcBorders>
          </w:tcPr>
          <w:p w14:paraId="7B8AFCE7" w14:textId="77777777" w:rsidR="006165D2" w:rsidRPr="00C9305E" w:rsidRDefault="006165D2" w:rsidP="00C618F4">
            <w:pPr>
              <w:cnfStyle w:val="100000000000" w:firstRow="1" w:lastRow="0" w:firstColumn="0" w:lastColumn="0" w:oddVBand="0" w:evenVBand="0" w:oddHBand="0" w:evenHBand="0" w:firstRowFirstColumn="0" w:firstRowLastColumn="0" w:lastRowFirstColumn="0" w:lastRowLastColumn="0"/>
              <w:rPr>
                <w:color w:val="auto"/>
              </w:rPr>
            </w:pPr>
            <w:r w:rsidRPr="00C9305E">
              <w:rPr>
                <w:color w:val="auto"/>
              </w:rPr>
              <w:t>24.6 million</w:t>
            </w:r>
          </w:p>
        </w:tc>
        <w:tc>
          <w:tcPr>
            <w:tcW w:w="1573" w:type="dxa"/>
            <w:tcBorders>
              <w:top w:val="single" w:sz="6" w:space="0" w:color="ACA6A2" w:themeColor="accent5"/>
              <w:bottom w:val="single" w:sz="8" w:space="0" w:color="ACA6A2" w:themeColor="accent5"/>
              <w:right w:val="single" w:sz="4" w:space="0" w:color="auto"/>
            </w:tcBorders>
          </w:tcPr>
          <w:p w14:paraId="1E151704" w14:textId="77777777" w:rsidR="006165D2" w:rsidRPr="00C9305E" w:rsidRDefault="006165D2" w:rsidP="00C618F4">
            <w:pPr>
              <w:cnfStyle w:val="100000000000" w:firstRow="1" w:lastRow="0" w:firstColumn="0" w:lastColumn="0" w:oddVBand="0" w:evenVBand="0" w:oddHBand="0" w:evenHBand="0" w:firstRowFirstColumn="0" w:firstRowLastColumn="0" w:lastRowFirstColumn="0" w:lastRowLastColumn="0"/>
              <w:rPr>
                <w:color w:val="auto"/>
              </w:rPr>
            </w:pPr>
            <w:r w:rsidRPr="00C9305E">
              <w:rPr>
                <w:color w:val="auto"/>
              </w:rPr>
              <w:t>Up 1%</w:t>
            </w:r>
          </w:p>
        </w:tc>
        <w:tc>
          <w:tcPr>
            <w:tcW w:w="1568" w:type="dxa"/>
            <w:tcBorders>
              <w:left w:val="single" w:sz="4" w:space="0" w:color="auto"/>
            </w:tcBorders>
          </w:tcPr>
          <w:p w14:paraId="2A20B9EA" w14:textId="77777777" w:rsidR="006165D2" w:rsidRPr="00C9305E" w:rsidRDefault="006165D2" w:rsidP="00C618F4">
            <w:pPr>
              <w:cnfStyle w:val="100000000000" w:firstRow="1" w:lastRow="0" w:firstColumn="0" w:lastColumn="0" w:oddVBand="0" w:evenVBand="0" w:oddHBand="0" w:evenHBand="0" w:firstRowFirstColumn="0" w:firstRowLastColumn="0" w:lastRowFirstColumn="0" w:lastRowLastColumn="0"/>
              <w:rPr>
                <w:color w:val="auto"/>
              </w:rPr>
            </w:pPr>
            <w:r w:rsidRPr="00C9305E">
              <w:rPr>
                <w:color w:val="auto"/>
              </w:rPr>
              <w:t>102.1 million</w:t>
            </w:r>
          </w:p>
        </w:tc>
        <w:tc>
          <w:tcPr>
            <w:tcW w:w="1574" w:type="dxa"/>
          </w:tcPr>
          <w:p w14:paraId="44890818" w14:textId="77777777" w:rsidR="006165D2" w:rsidRPr="00C9305E" w:rsidRDefault="006165D2" w:rsidP="00C618F4">
            <w:pPr>
              <w:cnfStyle w:val="100000000000" w:firstRow="1" w:lastRow="0" w:firstColumn="0" w:lastColumn="0" w:oddVBand="0" w:evenVBand="0" w:oddHBand="0" w:evenHBand="0" w:firstRowFirstColumn="0" w:firstRowLastColumn="0" w:lastRowFirstColumn="0" w:lastRowLastColumn="0"/>
              <w:rPr>
                <w:color w:val="auto"/>
              </w:rPr>
            </w:pPr>
            <w:r w:rsidRPr="00C9305E">
              <w:rPr>
                <w:color w:val="auto"/>
              </w:rPr>
              <w:t>Up 6%</w:t>
            </w:r>
          </w:p>
        </w:tc>
      </w:tr>
    </w:tbl>
    <w:p w14:paraId="46262B75" w14:textId="6655C9F2" w:rsidR="006165D2" w:rsidRPr="006165D2" w:rsidRDefault="006165D2" w:rsidP="004A34D5">
      <w:pPr>
        <w:pStyle w:val="Heading1"/>
      </w:pPr>
      <w:r>
        <w:br/>
      </w:r>
      <w:r w:rsidR="00B76830">
        <w:t>YEAR ENDING MARCH 2021</w:t>
      </w:r>
    </w:p>
    <w:p w14:paraId="0DC69610" w14:textId="4048541E" w:rsidR="00C9305E" w:rsidRDefault="00C9305E" w:rsidP="00C9305E">
      <w:pPr>
        <w:spacing w:after="120"/>
      </w:pPr>
      <w:r>
        <w:t>The year was impacted by border closures and varying restrictions due to the global COVID-19 pandemic. At the height of the pandemic in Australia in April and May 2020, domestic tourism recorded massive losses. Recovery through the second half of 2020 and into 2021 has been slow and affected by snap lockdowns caused by localised COVID-19 outbreaks</w:t>
      </w:r>
      <w:r w:rsidRPr="005C0907">
        <w:t xml:space="preserve">. </w:t>
      </w:r>
    </w:p>
    <w:p w14:paraId="52A9CDD7" w14:textId="4B7725C5" w:rsidR="00C9305E" w:rsidRDefault="005758BD" w:rsidP="00C9305E">
      <w:pPr>
        <w:spacing w:after="120"/>
        <w:rPr>
          <w:rFonts w:ascii="Arial" w:hAnsi="Arial" w:cs="Arial"/>
        </w:rPr>
      </w:pPr>
      <w:r>
        <w:rPr>
          <w:rFonts w:ascii="Arial" w:hAnsi="Arial" w:cs="Arial"/>
        </w:rPr>
        <w:t xml:space="preserve">Overall tourism losses for the year ending March 2021 were </w:t>
      </w:r>
      <w:r w:rsidRPr="00C9305E">
        <w:rPr>
          <w:rFonts w:ascii="Arial" w:hAnsi="Arial" w:cs="Arial"/>
        </w:rPr>
        <w:t>$82.9 billion</w:t>
      </w:r>
      <w:r>
        <w:rPr>
          <w:rFonts w:ascii="Arial" w:hAnsi="Arial" w:cs="Arial"/>
        </w:rPr>
        <w:t>. D</w:t>
      </w:r>
      <w:r w:rsidR="00C9305E">
        <w:rPr>
          <w:rFonts w:ascii="Arial" w:hAnsi="Arial" w:cs="Arial"/>
        </w:rPr>
        <w:t xml:space="preserve">omestic overnight trips fell </w:t>
      </w:r>
      <w:r w:rsidR="00C9305E" w:rsidRPr="00C9305E">
        <w:rPr>
          <w:rFonts w:ascii="Arial" w:hAnsi="Arial" w:cs="Arial"/>
        </w:rPr>
        <w:t>35% to 72.8 million</w:t>
      </w:r>
      <w:r w:rsidR="00C9305E" w:rsidRPr="00BF3E76">
        <w:rPr>
          <w:rFonts w:ascii="Arial" w:hAnsi="Arial" w:cs="Arial"/>
        </w:rPr>
        <w:t>, resul</w:t>
      </w:r>
      <w:r w:rsidR="00C9305E">
        <w:rPr>
          <w:rFonts w:ascii="Arial" w:hAnsi="Arial" w:cs="Arial"/>
        </w:rPr>
        <w:t xml:space="preserve">ting in a </w:t>
      </w:r>
      <w:r w:rsidR="00C9305E" w:rsidRPr="00C05E38">
        <w:rPr>
          <w:rFonts w:ascii="Arial" w:hAnsi="Arial" w:cs="Arial"/>
        </w:rPr>
        <w:t xml:space="preserve">decline in spend of </w:t>
      </w:r>
      <w:r w:rsidR="00C9305E" w:rsidRPr="00C9305E">
        <w:rPr>
          <w:rFonts w:ascii="Arial" w:hAnsi="Arial" w:cs="Arial"/>
        </w:rPr>
        <w:t>42% or $33.1 billion to $45.7 billion</w:t>
      </w:r>
      <w:r w:rsidR="00C9305E" w:rsidRPr="00C05E38">
        <w:rPr>
          <w:rFonts w:ascii="Arial" w:hAnsi="Arial" w:cs="Arial"/>
        </w:rPr>
        <w:t xml:space="preserve">. Further losses </w:t>
      </w:r>
      <w:r w:rsidR="00C9305E" w:rsidRPr="00C9305E">
        <w:rPr>
          <w:rFonts w:ascii="Arial" w:hAnsi="Arial" w:cs="Arial"/>
        </w:rPr>
        <w:t xml:space="preserve">of </w:t>
      </w:r>
      <w:r w:rsidR="00C9305E" w:rsidRPr="00732A9C">
        <w:rPr>
          <w:rFonts w:ascii="Arial" w:hAnsi="Arial" w:cs="Arial"/>
        </w:rPr>
        <w:t xml:space="preserve">35% or </w:t>
      </w:r>
      <w:r w:rsidR="00C9305E" w:rsidRPr="00C9305E">
        <w:rPr>
          <w:rFonts w:ascii="Arial" w:hAnsi="Arial" w:cs="Arial"/>
        </w:rPr>
        <w:t>$9.1 billion</w:t>
      </w:r>
      <w:r w:rsidR="00C9305E" w:rsidRPr="00C05E38">
        <w:rPr>
          <w:rFonts w:ascii="Arial" w:hAnsi="Arial" w:cs="Arial"/>
        </w:rPr>
        <w:t xml:space="preserve"> were seen for domestic day travel bringing total domestic tourism losses to </w:t>
      </w:r>
      <w:r w:rsidR="00C9305E" w:rsidRPr="00C9305E">
        <w:rPr>
          <w:rFonts w:ascii="Arial" w:hAnsi="Arial" w:cs="Arial"/>
        </w:rPr>
        <w:t>$42.2 billion</w:t>
      </w:r>
      <w:r w:rsidR="00C9305E" w:rsidRPr="00C05E38">
        <w:rPr>
          <w:rFonts w:ascii="Arial" w:hAnsi="Arial" w:cs="Arial"/>
        </w:rPr>
        <w:t xml:space="preserve"> (Table 1). Additionally, following a full year impacted by COVID-19, international travel </w:t>
      </w:r>
      <w:r w:rsidR="00C9305E">
        <w:rPr>
          <w:rFonts w:ascii="Arial" w:hAnsi="Arial" w:cs="Arial"/>
        </w:rPr>
        <w:t xml:space="preserve">had </w:t>
      </w:r>
      <w:r w:rsidR="00C9305E" w:rsidRPr="00C05E38">
        <w:rPr>
          <w:rFonts w:ascii="Arial" w:hAnsi="Arial" w:cs="Arial"/>
        </w:rPr>
        <w:t xml:space="preserve">losses of </w:t>
      </w:r>
      <w:r w:rsidR="00C9305E" w:rsidRPr="00C9305E">
        <w:rPr>
          <w:rFonts w:ascii="Arial" w:hAnsi="Arial" w:cs="Arial"/>
        </w:rPr>
        <w:t>98% or $40.7 billion</w:t>
      </w:r>
      <w:r>
        <w:rPr>
          <w:rFonts w:ascii="Arial" w:hAnsi="Arial" w:cs="Arial"/>
        </w:rPr>
        <w:t>.</w:t>
      </w:r>
    </w:p>
    <w:p w14:paraId="056615A2" w14:textId="043134D1" w:rsidR="00C9305E" w:rsidRPr="006165D2" w:rsidRDefault="00B76830" w:rsidP="004A34D5">
      <w:pPr>
        <w:pStyle w:val="Heading1"/>
      </w:pPr>
      <w:r>
        <w:t>MARCH QUARTER 2021</w:t>
      </w:r>
    </w:p>
    <w:p w14:paraId="224529E0" w14:textId="2CE29C9A" w:rsidR="003F3C1F" w:rsidRDefault="00691548" w:rsidP="00DD3835">
      <w:pPr>
        <w:spacing w:after="120"/>
        <w:rPr>
          <w:rFonts w:ascii="Arial" w:hAnsi="Arial" w:cs="Arial"/>
        </w:rPr>
      </w:pPr>
      <w:r>
        <w:t>T</w:t>
      </w:r>
      <w:r w:rsidR="008632BF">
        <w:rPr>
          <w:rFonts w:ascii="Arial" w:hAnsi="Arial" w:cs="Arial"/>
        </w:rPr>
        <w:t>he</w:t>
      </w:r>
      <w:r w:rsidR="00DD3835">
        <w:rPr>
          <w:rFonts w:ascii="Arial" w:hAnsi="Arial" w:cs="Arial"/>
        </w:rPr>
        <w:t xml:space="preserve"> signs of improvement seen in December </w:t>
      </w:r>
      <w:r w:rsidR="002C294A">
        <w:rPr>
          <w:rFonts w:ascii="Arial" w:hAnsi="Arial" w:cs="Arial"/>
        </w:rPr>
        <w:t xml:space="preserve">quarter </w:t>
      </w:r>
      <w:r w:rsidR="00C47077">
        <w:rPr>
          <w:rFonts w:ascii="Arial" w:hAnsi="Arial" w:cs="Arial"/>
        </w:rPr>
        <w:t>2020</w:t>
      </w:r>
      <w:r w:rsidR="00DD3835">
        <w:rPr>
          <w:rFonts w:ascii="Arial" w:hAnsi="Arial" w:cs="Arial"/>
        </w:rPr>
        <w:t xml:space="preserve"> </w:t>
      </w:r>
      <w:r w:rsidR="008632BF">
        <w:rPr>
          <w:rFonts w:ascii="Arial" w:hAnsi="Arial" w:cs="Arial"/>
        </w:rPr>
        <w:t>continued into March</w:t>
      </w:r>
      <w:r w:rsidR="00C47077">
        <w:rPr>
          <w:rFonts w:ascii="Arial" w:hAnsi="Arial" w:cs="Arial"/>
        </w:rPr>
        <w:t xml:space="preserve"> </w:t>
      </w:r>
      <w:r w:rsidR="002C294A">
        <w:rPr>
          <w:rFonts w:ascii="Arial" w:hAnsi="Arial" w:cs="Arial"/>
        </w:rPr>
        <w:t xml:space="preserve">quarter </w:t>
      </w:r>
      <w:r w:rsidR="00C47077">
        <w:rPr>
          <w:rFonts w:ascii="Arial" w:hAnsi="Arial" w:cs="Arial"/>
        </w:rPr>
        <w:t>2021</w:t>
      </w:r>
      <w:r w:rsidR="00B03F2C">
        <w:rPr>
          <w:rFonts w:ascii="Arial" w:hAnsi="Arial" w:cs="Arial"/>
        </w:rPr>
        <w:t>.</w:t>
      </w:r>
      <w:r w:rsidR="008632BF">
        <w:rPr>
          <w:rFonts w:ascii="Arial" w:hAnsi="Arial" w:cs="Arial"/>
        </w:rPr>
        <w:t xml:space="preserve"> </w:t>
      </w:r>
      <w:r w:rsidR="00DD3835">
        <w:rPr>
          <w:rFonts w:ascii="Arial" w:hAnsi="Arial" w:cs="Arial"/>
        </w:rPr>
        <w:t xml:space="preserve">Australians </w:t>
      </w:r>
      <w:r w:rsidR="00B03F2C">
        <w:rPr>
          <w:rFonts w:ascii="Arial" w:hAnsi="Arial" w:cs="Arial"/>
        </w:rPr>
        <w:t xml:space="preserve">took </w:t>
      </w:r>
      <w:r w:rsidR="00DD3835">
        <w:rPr>
          <w:rFonts w:ascii="Arial" w:hAnsi="Arial" w:cs="Arial"/>
        </w:rPr>
        <w:t xml:space="preserve">more overnight trips </w:t>
      </w:r>
      <w:r w:rsidR="00B03F2C">
        <w:rPr>
          <w:rFonts w:ascii="Arial" w:hAnsi="Arial" w:cs="Arial"/>
        </w:rPr>
        <w:t xml:space="preserve">in the quarter </w:t>
      </w:r>
      <w:r w:rsidR="00DD3835">
        <w:rPr>
          <w:rFonts w:ascii="Arial" w:hAnsi="Arial" w:cs="Arial"/>
        </w:rPr>
        <w:t xml:space="preserve">than at any time since the start of the pandemic. </w:t>
      </w:r>
      <w:r w:rsidR="00E958B4">
        <w:rPr>
          <w:rFonts w:ascii="Arial" w:hAnsi="Arial" w:cs="Arial"/>
        </w:rPr>
        <w:t>Th</w:t>
      </w:r>
      <w:r w:rsidR="00B03F2C">
        <w:rPr>
          <w:rFonts w:ascii="Arial" w:hAnsi="Arial" w:cs="Arial"/>
        </w:rPr>
        <w:t>is</w:t>
      </w:r>
      <w:r>
        <w:rPr>
          <w:rFonts w:ascii="Arial" w:hAnsi="Arial" w:cs="Arial"/>
        </w:rPr>
        <w:t xml:space="preserve"> saw a slight improvement on the same period last year</w:t>
      </w:r>
      <w:r w:rsidR="00E958B4">
        <w:rPr>
          <w:rFonts w:ascii="Arial" w:hAnsi="Arial" w:cs="Arial"/>
        </w:rPr>
        <w:t xml:space="preserve"> which was </w:t>
      </w:r>
      <w:r>
        <w:rPr>
          <w:rFonts w:ascii="Arial" w:hAnsi="Arial" w:cs="Arial"/>
        </w:rPr>
        <w:t xml:space="preserve">impacted </w:t>
      </w:r>
      <w:r w:rsidR="00E958B4">
        <w:rPr>
          <w:rFonts w:ascii="Arial" w:hAnsi="Arial" w:cs="Arial"/>
        </w:rPr>
        <w:t>by</w:t>
      </w:r>
      <w:r w:rsidR="00886239">
        <w:rPr>
          <w:rFonts w:ascii="Arial" w:hAnsi="Arial" w:cs="Arial"/>
        </w:rPr>
        <w:t xml:space="preserve"> bushfires and </w:t>
      </w:r>
      <w:r w:rsidR="00E958B4">
        <w:rPr>
          <w:rFonts w:ascii="Arial" w:hAnsi="Arial" w:cs="Arial"/>
        </w:rPr>
        <w:t xml:space="preserve">the beginning of the COVID-19 pandemic. Overnight trips were up </w:t>
      </w:r>
      <w:r w:rsidR="00E958B4" w:rsidRPr="00C9305E">
        <w:rPr>
          <w:rFonts w:ascii="Arial" w:hAnsi="Arial" w:cs="Arial"/>
        </w:rPr>
        <w:t>1%</w:t>
      </w:r>
      <w:r w:rsidR="00E958B4">
        <w:rPr>
          <w:rFonts w:ascii="Arial" w:hAnsi="Arial" w:cs="Arial"/>
        </w:rPr>
        <w:t xml:space="preserve"> to </w:t>
      </w:r>
      <w:r w:rsidR="00B03F2C">
        <w:rPr>
          <w:rFonts w:ascii="Arial" w:hAnsi="Arial" w:cs="Arial"/>
        </w:rPr>
        <w:t>24.6</w:t>
      </w:r>
      <w:r w:rsidR="00E958B4">
        <w:rPr>
          <w:rFonts w:ascii="Arial" w:hAnsi="Arial" w:cs="Arial"/>
        </w:rPr>
        <w:t xml:space="preserve"> million </w:t>
      </w:r>
      <w:r w:rsidR="00B03F2C">
        <w:rPr>
          <w:rFonts w:ascii="Arial" w:hAnsi="Arial" w:cs="Arial"/>
        </w:rPr>
        <w:t xml:space="preserve">while </w:t>
      </w:r>
      <w:r w:rsidR="00E958B4">
        <w:rPr>
          <w:rFonts w:ascii="Arial" w:hAnsi="Arial" w:cs="Arial"/>
        </w:rPr>
        <w:t xml:space="preserve">spend </w:t>
      </w:r>
      <w:r w:rsidR="00B03F2C">
        <w:rPr>
          <w:rFonts w:ascii="Arial" w:hAnsi="Arial" w:cs="Arial"/>
        </w:rPr>
        <w:t xml:space="preserve">($17.9 billion) </w:t>
      </w:r>
      <w:r w:rsidR="00E958B4">
        <w:rPr>
          <w:rFonts w:ascii="Arial" w:hAnsi="Arial" w:cs="Arial"/>
        </w:rPr>
        <w:t>was on par</w:t>
      </w:r>
      <w:r>
        <w:rPr>
          <w:rFonts w:ascii="Arial" w:hAnsi="Arial" w:cs="Arial"/>
        </w:rPr>
        <w:t xml:space="preserve"> </w:t>
      </w:r>
      <w:r w:rsidR="00B03F2C">
        <w:rPr>
          <w:rFonts w:ascii="Arial" w:hAnsi="Arial" w:cs="Arial"/>
        </w:rPr>
        <w:t xml:space="preserve">with </w:t>
      </w:r>
      <w:r>
        <w:rPr>
          <w:rFonts w:ascii="Arial" w:hAnsi="Arial" w:cs="Arial"/>
        </w:rPr>
        <w:t>March quarter 2020</w:t>
      </w:r>
      <w:r w:rsidR="00E958B4">
        <w:rPr>
          <w:rFonts w:ascii="Arial" w:hAnsi="Arial" w:cs="Arial"/>
        </w:rPr>
        <w:t xml:space="preserve">.  </w:t>
      </w:r>
    </w:p>
    <w:p w14:paraId="3F470603" w14:textId="77777777" w:rsidR="002715CF" w:rsidRDefault="002715CF">
      <w:pPr>
        <w:rPr>
          <w:b/>
        </w:rPr>
      </w:pPr>
      <w:r>
        <w:rPr>
          <w:b/>
        </w:rPr>
        <w:br w:type="page"/>
      </w:r>
    </w:p>
    <w:p w14:paraId="26A460D5" w14:textId="01589B36" w:rsidR="000B42DB" w:rsidRDefault="000B42DB" w:rsidP="000B42DB">
      <w:pPr>
        <w:spacing w:after="0"/>
      </w:pPr>
      <w:r w:rsidRPr="006F00FD">
        <w:rPr>
          <w:b/>
        </w:rPr>
        <w:lastRenderedPageBreak/>
        <w:t xml:space="preserve">TABLE 1: </w:t>
      </w:r>
      <w:r w:rsidR="00D25C36">
        <w:rPr>
          <w:b/>
        </w:rPr>
        <w:t xml:space="preserve">AUSTRALIAN </w:t>
      </w:r>
      <w:r w:rsidR="00070827">
        <w:rPr>
          <w:b/>
        </w:rPr>
        <w:t>TOURISM</w:t>
      </w:r>
      <w:r w:rsidR="001A52F6">
        <w:rPr>
          <w:b/>
        </w:rPr>
        <w:t xml:space="preserve"> SUMMARY</w:t>
      </w:r>
      <w:r w:rsidRPr="006F00FD">
        <w:rPr>
          <w:b/>
        </w:rPr>
        <w:t xml:space="preserve">, </w:t>
      </w:r>
      <w:r w:rsidR="00EF6565" w:rsidRPr="00B10424">
        <w:rPr>
          <w:b/>
        </w:rPr>
        <w:t>Year E</w:t>
      </w:r>
      <w:r w:rsidR="004E2606" w:rsidRPr="00B10424">
        <w:rPr>
          <w:b/>
        </w:rPr>
        <w:t>nding March 2020</w:t>
      </w:r>
      <w:r w:rsidR="001A52F6" w:rsidRPr="00B10424">
        <w:rPr>
          <w:b/>
        </w:rPr>
        <w:t xml:space="preserve"> and </w:t>
      </w:r>
      <w:r w:rsidR="004E2606" w:rsidRPr="00B10424">
        <w:rPr>
          <w:b/>
        </w:rPr>
        <w:t>2021</w:t>
      </w:r>
    </w:p>
    <w:tbl>
      <w:tblPr>
        <w:tblStyle w:val="TableGrid"/>
        <w:tblW w:w="9242" w:type="dxa"/>
        <w:jc w:val="center"/>
        <w:tblLook w:val="04A0" w:firstRow="1" w:lastRow="0" w:firstColumn="1" w:lastColumn="0" w:noHBand="0" w:noVBand="1"/>
        <w:tblCaption w:val="Table 1: Domestic travel, January September spend and visitors"/>
        <w:tblDescription w:val="Spend for overnight trips was down 48% from $60.3 billion in 2019 to $31.5 billion in 2020. &#10;Spend for day trips was down 38% from $19.3 billion in 2019 to $12.0 billion in 2020. &#10;Total domestic spend was down 45% from $79.6 billion in 2019 to $43.5 billion in 2020. &#10;Overnight visitors were down 42% from 88.0 million in 2019 to 50.8 million in 2020.&#10;Day trip visitors were down 37% from 186.2 million in 2019 to 116.6 million in 2020.&#10;Total domestic visitors were down 39% from 274.2 million in 2019 to 167.4 million in 2020."/>
      </w:tblPr>
      <w:tblGrid>
        <w:gridCol w:w="1986"/>
        <w:gridCol w:w="1851"/>
        <w:gridCol w:w="1851"/>
        <w:gridCol w:w="1667"/>
        <w:gridCol w:w="1887"/>
      </w:tblGrid>
      <w:tr w:rsidR="00732A9C" w14:paraId="5A937FD9" w14:textId="77777777" w:rsidTr="00DC325F">
        <w:trPr>
          <w:trHeight w:hRule="exact" w:val="397"/>
          <w:tblHeader/>
          <w:jc w:val="center"/>
        </w:trPr>
        <w:tc>
          <w:tcPr>
            <w:tcW w:w="9242" w:type="dxa"/>
            <w:gridSpan w:val="5"/>
          </w:tcPr>
          <w:p w14:paraId="0BA1D5CB" w14:textId="6A7E9C99" w:rsidR="00732A9C" w:rsidRPr="00B54D57" w:rsidRDefault="00732A9C" w:rsidP="00BD3B29">
            <w:pPr>
              <w:pStyle w:val="Heading1"/>
              <w:jc w:val="center"/>
              <w:outlineLvl w:val="0"/>
            </w:pPr>
            <w:r w:rsidRPr="00B10424">
              <w:t>spend ($ billions)</w:t>
            </w:r>
          </w:p>
        </w:tc>
      </w:tr>
      <w:tr w:rsidR="00732A9C" w14:paraId="3FD5171D" w14:textId="77777777" w:rsidTr="00732A9C">
        <w:trPr>
          <w:trHeight w:hRule="exact" w:val="397"/>
          <w:tblHeader/>
          <w:jc w:val="center"/>
        </w:trPr>
        <w:tc>
          <w:tcPr>
            <w:tcW w:w="1986" w:type="dxa"/>
          </w:tcPr>
          <w:p w14:paraId="679C7D06" w14:textId="77777777" w:rsidR="00732A9C" w:rsidRPr="00C47077" w:rsidRDefault="00732A9C" w:rsidP="00BD3B29">
            <w:pPr>
              <w:pStyle w:val="Heading1"/>
              <w:outlineLvl w:val="0"/>
            </w:pPr>
          </w:p>
        </w:tc>
        <w:tc>
          <w:tcPr>
            <w:tcW w:w="1851" w:type="dxa"/>
          </w:tcPr>
          <w:p w14:paraId="79753D2C" w14:textId="50843818" w:rsidR="00732A9C" w:rsidRPr="00B10424" w:rsidRDefault="00732A9C" w:rsidP="00BD3B29">
            <w:pPr>
              <w:pStyle w:val="Heading1"/>
              <w:jc w:val="center"/>
              <w:outlineLvl w:val="0"/>
            </w:pPr>
            <w:r w:rsidRPr="00B10424">
              <w:t>2020</w:t>
            </w:r>
          </w:p>
        </w:tc>
        <w:tc>
          <w:tcPr>
            <w:tcW w:w="1851" w:type="dxa"/>
          </w:tcPr>
          <w:p w14:paraId="21B8B3B4" w14:textId="01171036" w:rsidR="00732A9C" w:rsidRPr="00B10424" w:rsidRDefault="00732A9C" w:rsidP="00BD3B29">
            <w:pPr>
              <w:pStyle w:val="Heading1"/>
              <w:jc w:val="center"/>
              <w:outlineLvl w:val="0"/>
            </w:pPr>
            <w:r w:rsidRPr="00B10424">
              <w:t>2021</w:t>
            </w:r>
          </w:p>
        </w:tc>
        <w:tc>
          <w:tcPr>
            <w:tcW w:w="1667" w:type="dxa"/>
          </w:tcPr>
          <w:p w14:paraId="7A736D37" w14:textId="5A8D5974" w:rsidR="00732A9C" w:rsidRDefault="00222CD3" w:rsidP="00BD3B29">
            <w:pPr>
              <w:pStyle w:val="Heading1"/>
              <w:jc w:val="center"/>
              <w:outlineLvl w:val="0"/>
            </w:pPr>
            <w:r>
              <w:t>LOSS</w:t>
            </w:r>
          </w:p>
        </w:tc>
        <w:tc>
          <w:tcPr>
            <w:tcW w:w="1887" w:type="dxa"/>
          </w:tcPr>
          <w:p w14:paraId="45D2B777" w14:textId="461A4FC7" w:rsidR="00732A9C" w:rsidRPr="00C47077" w:rsidRDefault="00732A9C" w:rsidP="00BD3B29">
            <w:pPr>
              <w:pStyle w:val="Heading1"/>
              <w:jc w:val="center"/>
              <w:outlineLvl w:val="0"/>
            </w:pPr>
            <w:r>
              <w:t xml:space="preserve">% </w:t>
            </w:r>
            <w:r w:rsidRPr="00C47077">
              <w:t>Change</w:t>
            </w:r>
          </w:p>
        </w:tc>
      </w:tr>
      <w:tr w:rsidR="00732A9C" w14:paraId="1DC50057" w14:textId="77777777" w:rsidTr="00732A9C">
        <w:trPr>
          <w:trHeight w:hRule="exact" w:val="397"/>
          <w:tblHeader/>
          <w:jc w:val="center"/>
        </w:trPr>
        <w:tc>
          <w:tcPr>
            <w:tcW w:w="1986" w:type="dxa"/>
          </w:tcPr>
          <w:p w14:paraId="6CE486EE" w14:textId="77777777" w:rsidR="00732A9C" w:rsidRPr="00C47077" w:rsidRDefault="00732A9C" w:rsidP="00BD3B29">
            <w:pPr>
              <w:pStyle w:val="Heading1"/>
              <w:outlineLvl w:val="0"/>
            </w:pPr>
            <w:r w:rsidRPr="00C47077">
              <w:t>Overnight</w:t>
            </w:r>
          </w:p>
        </w:tc>
        <w:tc>
          <w:tcPr>
            <w:tcW w:w="1851" w:type="dxa"/>
          </w:tcPr>
          <w:p w14:paraId="161938AC" w14:textId="1E42650A" w:rsidR="00732A9C" w:rsidRPr="00C47077" w:rsidRDefault="00732A9C" w:rsidP="00BD3B29">
            <w:pPr>
              <w:pStyle w:val="Heading1"/>
              <w:jc w:val="center"/>
              <w:outlineLvl w:val="0"/>
            </w:pPr>
            <w:r w:rsidRPr="00B10424">
              <w:t>78.8</w:t>
            </w:r>
          </w:p>
        </w:tc>
        <w:tc>
          <w:tcPr>
            <w:tcW w:w="1851" w:type="dxa"/>
          </w:tcPr>
          <w:p w14:paraId="609FDAA6" w14:textId="1FB537FD" w:rsidR="00732A9C" w:rsidRPr="00C47077" w:rsidRDefault="00732A9C" w:rsidP="00BD3B29">
            <w:pPr>
              <w:pStyle w:val="Heading1"/>
              <w:jc w:val="center"/>
              <w:outlineLvl w:val="0"/>
            </w:pPr>
            <w:r w:rsidRPr="00B10424">
              <w:t>45.7</w:t>
            </w:r>
          </w:p>
        </w:tc>
        <w:tc>
          <w:tcPr>
            <w:tcW w:w="1667" w:type="dxa"/>
          </w:tcPr>
          <w:p w14:paraId="47BA1C2A" w14:textId="1D166533" w:rsidR="00732A9C" w:rsidRPr="00B10424" w:rsidRDefault="00C618F4" w:rsidP="00BD3B29">
            <w:pPr>
              <w:pStyle w:val="Heading1"/>
              <w:jc w:val="center"/>
              <w:outlineLvl w:val="0"/>
            </w:pPr>
            <w:r>
              <w:t>-33.1</w:t>
            </w:r>
          </w:p>
        </w:tc>
        <w:tc>
          <w:tcPr>
            <w:tcW w:w="1887" w:type="dxa"/>
          </w:tcPr>
          <w:p w14:paraId="6F940D09" w14:textId="3931D4B6" w:rsidR="00732A9C" w:rsidRPr="00C47077" w:rsidRDefault="00732A9C" w:rsidP="00BD3B29">
            <w:pPr>
              <w:pStyle w:val="Heading1"/>
              <w:jc w:val="center"/>
              <w:outlineLvl w:val="0"/>
            </w:pPr>
            <w:r w:rsidRPr="00B10424">
              <w:t>-42</w:t>
            </w:r>
          </w:p>
        </w:tc>
      </w:tr>
      <w:tr w:rsidR="00732A9C" w14:paraId="0392830A" w14:textId="77777777" w:rsidTr="00732A9C">
        <w:trPr>
          <w:trHeight w:hRule="exact" w:val="397"/>
          <w:tblHeader/>
          <w:jc w:val="center"/>
        </w:trPr>
        <w:tc>
          <w:tcPr>
            <w:tcW w:w="1986" w:type="dxa"/>
          </w:tcPr>
          <w:p w14:paraId="29AADD01" w14:textId="77777777" w:rsidR="00732A9C" w:rsidRPr="00C47077" w:rsidRDefault="00732A9C" w:rsidP="00BD3B29">
            <w:pPr>
              <w:pStyle w:val="Heading1"/>
              <w:outlineLvl w:val="0"/>
            </w:pPr>
            <w:r w:rsidRPr="00C47077">
              <w:t>Day Trip</w:t>
            </w:r>
          </w:p>
        </w:tc>
        <w:tc>
          <w:tcPr>
            <w:tcW w:w="1851" w:type="dxa"/>
          </w:tcPr>
          <w:p w14:paraId="1AED2936" w14:textId="01F62C82" w:rsidR="00732A9C" w:rsidRPr="00C47077" w:rsidRDefault="00732A9C" w:rsidP="00BD3B29">
            <w:pPr>
              <w:pStyle w:val="Heading1"/>
              <w:jc w:val="center"/>
              <w:outlineLvl w:val="0"/>
            </w:pPr>
            <w:r w:rsidRPr="00B10424">
              <w:t>25.9</w:t>
            </w:r>
          </w:p>
        </w:tc>
        <w:tc>
          <w:tcPr>
            <w:tcW w:w="1851" w:type="dxa"/>
          </w:tcPr>
          <w:p w14:paraId="1752B8CA" w14:textId="3FBE72A6" w:rsidR="00732A9C" w:rsidRPr="00C47077" w:rsidRDefault="00732A9C" w:rsidP="00BD3B29">
            <w:pPr>
              <w:pStyle w:val="Heading1"/>
              <w:jc w:val="center"/>
              <w:outlineLvl w:val="0"/>
            </w:pPr>
            <w:r w:rsidRPr="00B10424">
              <w:t>16.7</w:t>
            </w:r>
          </w:p>
        </w:tc>
        <w:tc>
          <w:tcPr>
            <w:tcW w:w="1667" w:type="dxa"/>
          </w:tcPr>
          <w:p w14:paraId="63B6A49B" w14:textId="3DABB65E" w:rsidR="00732A9C" w:rsidRPr="003B4F13" w:rsidRDefault="00C618F4" w:rsidP="00BD3B29">
            <w:pPr>
              <w:pStyle w:val="Heading1"/>
              <w:jc w:val="center"/>
              <w:outlineLvl w:val="0"/>
            </w:pPr>
            <w:r>
              <w:t>-9.1</w:t>
            </w:r>
          </w:p>
        </w:tc>
        <w:tc>
          <w:tcPr>
            <w:tcW w:w="1887" w:type="dxa"/>
          </w:tcPr>
          <w:p w14:paraId="5B87CB63" w14:textId="49D74D20" w:rsidR="00732A9C" w:rsidRPr="00C47077" w:rsidRDefault="00732A9C" w:rsidP="00BD3B29">
            <w:pPr>
              <w:pStyle w:val="Heading1"/>
              <w:jc w:val="center"/>
              <w:outlineLvl w:val="0"/>
            </w:pPr>
            <w:r w:rsidRPr="003B4F13">
              <w:t>-35</w:t>
            </w:r>
          </w:p>
        </w:tc>
      </w:tr>
      <w:tr w:rsidR="00732A9C" w14:paraId="3D81D193" w14:textId="77777777" w:rsidTr="00732A9C">
        <w:trPr>
          <w:trHeight w:hRule="exact" w:val="397"/>
          <w:tblHeader/>
          <w:jc w:val="center"/>
        </w:trPr>
        <w:tc>
          <w:tcPr>
            <w:tcW w:w="1986" w:type="dxa"/>
          </w:tcPr>
          <w:p w14:paraId="31149AD5" w14:textId="6FD7BDE4" w:rsidR="00732A9C" w:rsidRPr="00AE6AE0" w:rsidRDefault="00732A9C" w:rsidP="00BD3B29">
            <w:pPr>
              <w:pStyle w:val="Heading1"/>
              <w:outlineLvl w:val="0"/>
            </w:pPr>
            <w:r w:rsidRPr="00AE6AE0">
              <w:t>DOMESTIC TOTAL</w:t>
            </w:r>
          </w:p>
        </w:tc>
        <w:tc>
          <w:tcPr>
            <w:tcW w:w="1851" w:type="dxa"/>
          </w:tcPr>
          <w:p w14:paraId="7E84B20B" w14:textId="601E5E8C" w:rsidR="00732A9C" w:rsidRPr="00AE6AE0" w:rsidRDefault="00C618F4" w:rsidP="00BD3B29">
            <w:pPr>
              <w:pStyle w:val="Heading1"/>
              <w:jc w:val="center"/>
              <w:outlineLvl w:val="0"/>
            </w:pPr>
            <w:r w:rsidRPr="00AE6AE0">
              <w:t>104.6</w:t>
            </w:r>
          </w:p>
        </w:tc>
        <w:tc>
          <w:tcPr>
            <w:tcW w:w="1851" w:type="dxa"/>
          </w:tcPr>
          <w:p w14:paraId="43AF59F0" w14:textId="09A2D30E" w:rsidR="00732A9C" w:rsidRPr="00AE6AE0" w:rsidRDefault="00C618F4" w:rsidP="00BD3B29">
            <w:pPr>
              <w:pStyle w:val="Heading1"/>
              <w:jc w:val="center"/>
              <w:outlineLvl w:val="0"/>
            </w:pPr>
            <w:r w:rsidRPr="00AE6AE0">
              <w:t>62.4</w:t>
            </w:r>
          </w:p>
        </w:tc>
        <w:tc>
          <w:tcPr>
            <w:tcW w:w="1667" w:type="dxa"/>
          </w:tcPr>
          <w:p w14:paraId="538BBE57" w14:textId="5BD0C6AB" w:rsidR="00732A9C" w:rsidRPr="00AE6AE0" w:rsidRDefault="00C618F4" w:rsidP="00BD3B29">
            <w:pPr>
              <w:pStyle w:val="Heading1"/>
              <w:jc w:val="center"/>
              <w:outlineLvl w:val="0"/>
            </w:pPr>
            <w:r w:rsidRPr="00AE6AE0">
              <w:t>-42.2</w:t>
            </w:r>
          </w:p>
        </w:tc>
        <w:tc>
          <w:tcPr>
            <w:tcW w:w="1887" w:type="dxa"/>
          </w:tcPr>
          <w:p w14:paraId="391A3576" w14:textId="18A9FAED" w:rsidR="00732A9C" w:rsidRPr="00AE6AE0" w:rsidRDefault="00C618F4" w:rsidP="00BD3B29">
            <w:pPr>
              <w:pStyle w:val="Heading1"/>
              <w:jc w:val="center"/>
              <w:outlineLvl w:val="0"/>
            </w:pPr>
            <w:r w:rsidRPr="00AE6AE0">
              <w:t>-40</w:t>
            </w:r>
          </w:p>
        </w:tc>
      </w:tr>
      <w:tr w:rsidR="00732A9C" w14:paraId="1F6B7EA8" w14:textId="77777777" w:rsidTr="00732A9C">
        <w:trPr>
          <w:trHeight w:hRule="exact" w:val="596"/>
          <w:tblHeader/>
          <w:jc w:val="center"/>
        </w:trPr>
        <w:tc>
          <w:tcPr>
            <w:tcW w:w="1986" w:type="dxa"/>
          </w:tcPr>
          <w:p w14:paraId="4EB78DB5" w14:textId="22D8FD57" w:rsidR="00732A9C" w:rsidRPr="00C47077" w:rsidRDefault="00732A9C" w:rsidP="00BD3B29">
            <w:pPr>
              <w:pStyle w:val="Heading1"/>
              <w:outlineLvl w:val="0"/>
              <w:rPr>
                <w:vertAlign w:val="superscript"/>
              </w:rPr>
            </w:pPr>
            <w:r w:rsidRPr="00C47077">
              <w:t>INTERNATIONAL</w:t>
            </w:r>
            <w:r>
              <w:t xml:space="preserve"> ARRIVAL</w:t>
            </w:r>
            <w:r w:rsidR="00242581">
              <w:t>s</w:t>
            </w:r>
          </w:p>
        </w:tc>
        <w:tc>
          <w:tcPr>
            <w:tcW w:w="1851" w:type="dxa"/>
            <w:vAlign w:val="center"/>
          </w:tcPr>
          <w:p w14:paraId="72C44699" w14:textId="76543E81" w:rsidR="00732A9C" w:rsidRPr="00C47077" w:rsidRDefault="00732A9C" w:rsidP="00BD3B29">
            <w:pPr>
              <w:pStyle w:val="Heading1"/>
              <w:jc w:val="center"/>
              <w:outlineLvl w:val="0"/>
              <w:rPr>
                <w:szCs w:val="16"/>
              </w:rPr>
            </w:pPr>
            <w:r w:rsidRPr="00E5729D">
              <w:t>41.5</w:t>
            </w:r>
          </w:p>
        </w:tc>
        <w:tc>
          <w:tcPr>
            <w:tcW w:w="1851" w:type="dxa"/>
            <w:vAlign w:val="center"/>
          </w:tcPr>
          <w:p w14:paraId="6ED5405C" w14:textId="5583457B" w:rsidR="00732A9C" w:rsidRPr="00C47077" w:rsidRDefault="00732A9C" w:rsidP="00BD3B29">
            <w:pPr>
              <w:pStyle w:val="Heading1"/>
              <w:jc w:val="center"/>
              <w:outlineLvl w:val="0"/>
            </w:pPr>
            <w:r w:rsidRPr="003B4F13">
              <w:t>0.8</w:t>
            </w:r>
          </w:p>
        </w:tc>
        <w:tc>
          <w:tcPr>
            <w:tcW w:w="1667" w:type="dxa"/>
          </w:tcPr>
          <w:p w14:paraId="54156AFA" w14:textId="73D8ECD8" w:rsidR="00732A9C" w:rsidRPr="003B4F13" w:rsidRDefault="00C618F4" w:rsidP="00BD3B29">
            <w:pPr>
              <w:pStyle w:val="Heading1"/>
              <w:jc w:val="center"/>
              <w:outlineLvl w:val="0"/>
            </w:pPr>
            <w:r>
              <w:t>-40.7</w:t>
            </w:r>
          </w:p>
        </w:tc>
        <w:tc>
          <w:tcPr>
            <w:tcW w:w="1887" w:type="dxa"/>
            <w:vAlign w:val="center"/>
          </w:tcPr>
          <w:p w14:paraId="0612EF1A" w14:textId="3311FCA1" w:rsidR="00732A9C" w:rsidRPr="00C47077" w:rsidRDefault="00732A9C" w:rsidP="00BD3B29">
            <w:pPr>
              <w:pStyle w:val="Heading1"/>
              <w:jc w:val="center"/>
              <w:outlineLvl w:val="0"/>
            </w:pPr>
            <w:r w:rsidRPr="003B4F13">
              <w:t>-98</w:t>
            </w:r>
          </w:p>
        </w:tc>
      </w:tr>
      <w:tr w:rsidR="00732A9C" w14:paraId="2F2A6275" w14:textId="77777777" w:rsidTr="00732A9C">
        <w:trPr>
          <w:trHeight w:hRule="exact" w:val="397"/>
          <w:tblHeader/>
          <w:jc w:val="center"/>
        </w:trPr>
        <w:tc>
          <w:tcPr>
            <w:tcW w:w="1986" w:type="dxa"/>
          </w:tcPr>
          <w:p w14:paraId="26B9C397" w14:textId="77777777" w:rsidR="00732A9C" w:rsidRPr="00AE6AE0" w:rsidRDefault="00732A9C" w:rsidP="00BD3B29">
            <w:pPr>
              <w:pStyle w:val="Heading1"/>
              <w:outlineLvl w:val="0"/>
            </w:pPr>
            <w:r w:rsidRPr="00AE6AE0">
              <w:t>Total</w:t>
            </w:r>
          </w:p>
        </w:tc>
        <w:tc>
          <w:tcPr>
            <w:tcW w:w="1851" w:type="dxa"/>
          </w:tcPr>
          <w:p w14:paraId="3F915118" w14:textId="24B7252D" w:rsidR="00732A9C" w:rsidRPr="00AE6AE0" w:rsidRDefault="00732A9C" w:rsidP="00BD3B29">
            <w:pPr>
              <w:pStyle w:val="Heading1"/>
              <w:jc w:val="center"/>
              <w:outlineLvl w:val="0"/>
            </w:pPr>
            <w:r w:rsidRPr="00AE6AE0">
              <w:t>146.1</w:t>
            </w:r>
          </w:p>
        </w:tc>
        <w:tc>
          <w:tcPr>
            <w:tcW w:w="1851" w:type="dxa"/>
          </w:tcPr>
          <w:p w14:paraId="44E0EC5F" w14:textId="632D34B6" w:rsidR="00732A9C" w:rsidRPr="00AE6AE0" w:rsidRDefault="00732A9C" w:rsidP="00BD3B29">
            <w:pPr>
              <w:pStyle w:val="Heading1"/>
              <w:jc w:val="center"/>
              <w:outlineLvl w:val="0"/>
            </w:pPr>
            <w:r w:rsidRPr="00AE6AE0">
              <w:t>63.2</w:t>
            </w:r>
          </w:p>
        </w:tc>
        <w:tc>
          <w:tcPr>
            <w:tcW w:w="1667" w:type="dxa"/>
          </w:tcPr>
          <w:p w14:paraId="612E0EBC" w14:textId="60641B9A" w:rsidR="00732A9C" w:rsidRPr="00AE6AE0" w:rsidRDefault="00C618F4" w:rsidP="00BD3B29">
            <w:pPr>
              <w:pStyle w:val="Heading1"/>
              <w:jc w:val="center"/>
              <w:outlineLvl w:val="0"/>
            </w:pPr>
            <w:r w:rsidRPr="00AE6AE0">
              <w:t>-82.9</w:t>
            </w:r>
          </w:p>
        </w:tc>
        <w:tc>
          <w:tcPr>
            <w:tcW w:w="1887" w:type="dxa"/>
          </w:tcPr>
          <w:p w14:paraId="03D8CC83" w14:textId="54B5E564" w:rsidR="00732A9C" w:rsidRPr="00AE6AE0" w:rsidRDefault="00732A9C" w:rsidP="00BD3B29">
            <w:pPr>
              <w:pStyle w:val="Heading1"/>
              <w:jc w:val="center"/>
              <w:outlineLvl w:val="0"/>
            </w:pPr>
            <w:r w:rsidRPr="00AE6AE0">
              <w:t>-57</w:t>
            </w:r>
          </w:p>
        </w:tc>
      </w:tr>
      <w:tr w:rsidR="00732A9C" w14:paraId="64AD378A" w14:textId="77777777" w:rsidTr="00DC325F">
        <w:trPr>
          <w:trHeight w:hRule="exact" w:val="397"/>
          <w:tblHeader/>
          <w:jc w:val="center"/>
        </w:trPr>
        <w:tc>
          <w:tcPr>
            <w:tcW w:w="9242" w:type="dxa"/>
            <w:gridSpan w:val="5"/>
          </w:tcPr>
          <w:p w14:paraId="080FE412" w14:textId="3EF8213B" w:rsidR="00732A9C" w:rsidRPr="0056125D" w:rsidRDefault="00732A9C" w:rsidP="00BD3B29">
            <w:pPr>
              <w:pStyle w:val="Heading1"/>
              <w:jc w:val="center"/>
              <w:outlineLvl w:val="0"/>
            </w:pPr>
            <w:r w:rsidRPr="003B4F13">
              <w:t>Visitors (millions)</w:t>
            </w:r>
          </w:p>
        </w:tc>
      </w:tr>
      <w:tr w:rsidR="00732A9C" w14:paraId="65E1DAAA" w14:textId="77777777" w:rsidTr="00732A9C">
        <w:trPr>
          <w:trHeight w:hRule="exact" w:val="397"/>
          <w:tblHeader/>
          <w:jc w:val="center"/>
        </w:trPr>
        <w:tc>
          <w:tcPr>
            <w:tcW w:w="1986" w:type="dxa"/>
          </w:tcPr>
          <w:p w14:paraId="6438A164" w14:textId="77777777" w:rsidR="00732A9C" w:rsidRPr="0056125D" w:rsidRDefault="00732A9C" w:rsidP="00BD3B29">
            <w:pPr>
              <w:pStyle w:val="Heading1"/>
              <w:outlineLvl w:val="0"/>
            </w:pPr>
          </w:p>
        </w:tc>
        <w:tc>
          <w:tcPr>
            <w:tcW w:w="1851" w:type="dxa"/>
          </w:tcPr>
          <w:p w14:paraId="6B94679F" w14:textId="095BF876" w:rsidR="00732A9C" w:rsidRPr="003B4F13" w:rsidRDefault="00732A9C" w:rsidP="00BD3B29">
            <w:pPr>
              <w:pStyle w:val="Heading1"/>
              <w:jc w:val="center"/>
              <w:outlineLvl w:val="0"/>
            </w:pPr>
            <w:r w:rsidRPr="003B4F13">
              <w:t>2020</w:t>
            </w:r>
          </w:p>
        </w:tc>
        <w:tc>
          <w:tcPr>
            <w:tcW w:w="1851" w:type="dxa"/>
          </w:tcPr>
          <w:p w14:paraId="375826FD" w14:textId="68C552DB" w:rsidR="00732A9C" w:rsidRPr="003B4F13" w:rsidRDefault="00732A9C" w:rsidP="00BD3B29">
            <w:pPr>
              <w:pStyle w:val="Heading1"/>
              <w:jc w:val="center"/>
              <w:outlineLvl w:val="0"/>
            </w:pPr>
            <w:r w:rsidRPr="003B4F13">
              <w:t>2021</w:t>
            </w:r>
          </w:p>
        </w:tc>
        <w:tc>
          <w:tcPr>
            <w:tcW w:w="1667" w:type="dxa"/>
          </w:tcPr>
          <w:p w14:paraId="1C1F6E13" w14:textId="3D49FCE5" w:rsidR="00732A9C" w:rsidRDefault="00222CD3" w:rsidP="00BD3B29">
            <w:pPr>
              <w:pStyle w:val="Heading1"/>
              <w:jc w:val="center"/>
              <w:outlineLvl w:val="0"/>
            </w:pPr>
            <w:r>
              <w:t>LOSS</w:t>
            </w:r>
          </w:p>
        </w:tc>
        <w:tc>
          <w:tcPr>
            <w:tcW w:w="1887" w:type="dxa"/>
          </w:tcPr>
          <w:p w14:paraId="4BDC84DC" w14:textId="6B399BEB" w:rsidR="00732A9C" w:rsidRPr="0056125D" w:rsidRDefault="00732A9C" w:rsidP="00BD3B29">
            <w:pPr>
              <w:pStyle w:val="Heading1"/>
              <w:jc w:val="center"/>
              <w:outlineLvl w:val="0"/>
            </w:pPr>
            <w:r>
              <w:t xml:space="preserve">% </w:t>
            </w:r>
            <w:r w:rsidRPr="0056125D">
              <w:t>Change</w:t>
            </w:r>
          </w:p>
        </w:tc>
      </w:tr>
      <w:tr w:rsidR="00732A9C" w14:paraId="51982994" w14:textId="77777777" w:rsidTr="00732A9C">
        <w:trPr>
          <w:trHeight w:hRule="exact" w:val="397"/>
          <w:tblHeader/>
          <w:jc w:val="center"/>
        </w:trPr>
        <w:tc>
          <w:tcPr>
            <w:tcW w:w="1986" w:type="dxa"/>
          </w:tcPr>
          <w:p w14:paraId="248E976F" w14:textId="77777777" w:rsidR="00732A9C" w:rsidRPr="00C47077" w:rsidRDefault="00732A9C" w:rsidP="00BD3B29">
            <w:pPr>
              <w:pStyle w:val="Heading1"/>
              <w:outlineLvl w:val="0"/>
            </w:pPr>
            <w:r w:rsidRPr="00C47077">
              <w:t>Overnight</w:t>
            </w:r>
          </w:p>
        </w:tc>
        <w:tc>
          <w:tcPr>
            <w:tcW w:w="1851" w:type="dxa"/>
          </w:tcPr>
          <w:p w14:paraId="0D54317A" w14:textId="3820B038" w:rsidR="00732A9C" w:rsidRPr="00C47077" w:rsidRDefault="00732A9C" w:rsidP="00BD3B29">
            <w:pPr>
              <w:pStyle w:val="Heading1"/>
              <w:jc w:val="center"/>
              <w:outlineLvl w:val="0"/>
            </w:pPr>
            <w:r w:rsidRPr="003B4F13">
              <w:t>112.3</w:t>
            </w:r>
          </w:p>
        </w:tc>
        <w:tc>
          <w:tcPr>
            <w:tcW w:w="1851" w:type="dxa"/>
          </w:tcPr>
          <w:p w14:paraId="71FAD8FA" w14:textId="1B0C4E4D" w:rsidR="00732A9C" w:rsidRPr="00C47077" w:rsidRDefault="00732A9C" w:rsidP="00BD3B29">
            <w:pPr>
              <w:pStyle w:val="Heading1"/>
              <w:jc w:val="center"/>
              <w:outlineLvl w:val="0"/>
            </w:pPr>
            <w:r w:rsidRPr="003B4F13">
              <w:t>72.8</w:t>
            </w:r>
          </w:p>
        </w:tc>
        <w:tc>
          <w:tcPr>
            <w:tcW w:w="1667" w:type="dxa"/>
          </w:tcPr>
          <w:p w14:paraId="1BAB7B0C" w14:textId="6548AEE9" w:rsidR="00732A9C" w:rsidRPr="003B4F13" w:rsidRDefault="00C618F4" w:rsidP="00BD3B29">
            <w:pPr>
              <w:pStyle w:val="Heading1"/>
              <w:jc w:val="center"/>
              <w:outlineLvl w:val="0"/>
            </w:pPr>
            <w:r>
              <w:t>-39.5</w:t>
            </w:r>
          </w:p>
        </w:tc>
        <w:tc>
          <w:tcPr>
            <w:tcW w:w="1887" w:type="dxa"/>
          </w:tcPr>
          <w:p w14:paraId="3F62EFD9" w14:textId="7CCE915C" w:rsidR="00732A9C" w:rsidRPr="00C47077" w:rsidRDefault="00732A9C" w:rsidP="00BD3B29">
            <w:pPr>
              <w:pStyle w:val="Heading1"/>
              <w:jc w:val="center"/>
              <w:outlineLvl w:val="0"/>
            </w:pPr>
            <w:r w:rsidRPr="003B4F13">
              <w:t>-35</w:t>
            </w:r>
          </w:p>
        </w:tc>
      </w:tr>
      <w:tr w:rsidR="00732A9C" w14:paraId="0F80076C" w14:textId="77777777" w:rsidTr="00732A9C">
        <w:trPr>
          <w:trHeight w:hRule="exact" w:val="397"/>
          <w:tblHeader/>
          <w:jc w:val="center"/>
        </w:trPr>
        <w:tc>
          <w:tcPr>
            <w:tcW w:w="1986" w:type="dxa"/>
          </w:tcPr>
          <w:p w14:paraId="557FF31F" w14:textId="77777777" w:rsidR="00732A9C" w:rsidRPr="00C47077" w:rsidRDefault="00732A9C" w:rsidP="00BD3B29">
            <w:pPr>
              <w:pStyle w:val="Heading1"/>
              <w:outlineLvl w:val="0"/>
            </w:pPr>
            <w:r w:rsidRPr="00C47077">
              <w:t>Day Trip</w:t>
            </w:r>
          </w:p>
        </w:tc>
        <w:tc>
          <w:tcPr>
            <w:tcW w:w="1851" w:type="dxa"/>
          </w:tcPr>
          <w:p w14:paraId="289EDCBB" w14:textId="57E7A06B" w:rsidR="00732A9C" w:rsidRPr="00C47077" w:rsidRDefault="00732A9C" w:rsidP="00BD3B29">
            <w:pPr>
              <w:pStyle w:val="Heading1"/>
              <w:jc w:val="center"/>
              <w:outlineLvl w:val="0"/>
            </w:pPr>
            <w:r w:rsidRPr="003B4F13">
              <w:t>238.7</w:t>
            </w:r>
          </w:p>
        </w:tc>
        <w:tc>
          <w:tcPr>
            <w:tcW w:w="1851" w:type="dxa"/>
          </w:tcPr>
          <w:p w14:paraId="7186BE0F" w14:textId="0857F91C" w:rsidR="00732A9C" w:rsidRPr="00C47077" w:rsidRDefault="00732A9C" w:rsidP="00BD3B29">
            <w:pPr>
              <w:pStyle w:val="Heading1"/>
              <w:jc w:val="center"/>
              <w:outlineLvl w:val="0"/>
            </w:pPr>
            <w:r w:rsidRPr="003B4F13">
              <w:t>158.5</w:t>
            </w:r>
          </w:p>
        </w:tc>
        <w:tc>
          <w:tcPr>
            <w:tcW w:w="1667" w:type="dxa"/>
          </w:tcPr>
          <w:p w14:paraId="31A8F7CA" w14:textId="4098FF7A" w:rsidR="00732A9C" w:rsidRPr="003B4F13" w:rsidRDefault="00C618F4" w:rsidP="00BD3B29">
            <w:pPr>
              <w:pStyle w:val="Heading1"/>
              <w:jc w:val="center"/>
              <w:outlineLvl w:val="0"/>
            </w:pPr>
            <w:r>
              <w:t>-80.3</w:t>
            </w:r>
          </w:p>
        </w:tc>
        <w:tc>
          <w:tcPr>
            <w:tcW w:w="1887" w:type="dxa"/>
          </w:tcPr>
          <w:p w14:paraId="59363444" w14:textId="1C9C4252" w:rsidR="00732A9C" w:rsidRPr="00C47077" w:rsidRDefault="00732A9C" w:rsidP="00BD3B29">
            <w:pPr>
              <w:pStyle w:val="Heading1"/>
              <w:jc w:val="center"/>
              <w:outlineLvl w:val="0"/>
            </w:pPr>
            <w:r w:rsidRPr="003B4F13">
              <w:t>-34</w:t>
            </w:r>
          </w:p>
        </w:tc>
      </w:tr>
      <w:tr w:rsidR="00732A9C" w14:paraId="3AEF27F9" w14:textId="77777777" w:rsidTr="00732A9C">
        <w:trPr>
          <w:trHeight w:hRule="exact" w:val="397"/>
          <w:tblHeader/>
          <w:jc w:val="center"/>
        </w:trPr>
        <w:tc>
          <w:tcPr>
            <w:tcW w:w="1986" w:type="dxa"/>
          </w:tcPr>
          <w:p w14:paraId="5E9C0EBF" w14:textId="5EC66828" w:rsidR="00732A9C" w:rsidRPr="00AE6AE0" w:rsidRDefault="00732A9C" w:rsidP="00BD3B29">
            <w:pPr>
              <w:pStyle w:val="Heading1"/>
              <w:outlineLvl w:val="0"/>
            </w:pPr>
            <w:r w:rsidRPr="00AE6AE0">
              <w:t>DOMESTIC TOTAL</w:t>
            </w:r>
          </w:p>
        </w:tc>
        <w:tc>
          <w:tcPr>
            <w:tcW w:w="1851" w:type="dxa"/>
          </w:tcPr>
          <w:p w14:paraId="23EE9B24" w14:textId="2AEFC36D" w:rsidR="00732A9C" w:rsidRPr="00AE6AE0" w:rsidRDefault="00C618F4" w:rsidP="00BD3B29">
            <w:pPr>
              <w:pStyle w:val="Heading1"/>
              <w:jc w:val="center"/>
              <w:outlineLvl w:val="0"/>
            </w:pPr>
            <w:r w:rsidRPr="00AE6AE0">
              <w:t>351.0</w:t>
            </w:r>
          </w:p>
        </w:tc>
        <w:tc>
          <w:tcPr>
            <w:tcW w:w="1851" w:type="dxa"/>
          </w:tcPr>
          <w:p w14:paraId="13C2812F" w14:textId="7C687526" w:rsidR="00732A9C" w:rsidRPr="00AE6AE0" w:rsidRDefault="00C618F4" w:rsidP="00BD3B29">
            <w:pPr>
              <w:pStyle w:val="Heading1"/>
              <w:jc w:val="center"/>
              <w:outlineLvl w:val="0"/>
            </w:pPr>
            <w:r w:rsidRPr="00AE6AE0">
              <w:t>231.3</w:t>
            </w:r>
          </w:p>
        </w:tc>
        <w:tc>
          <w:tcPr>
            <w:tcW w:w="1667" w:type="dxa"/>
          </w:tcPr>
          <w:p w14:paraId="65B4CA7F" w14:textId="1C3FD445" w:rsidR="00732A9C" w:rsidRPr="00AE6AE0" w:rsidRDefault="00C618F4" w:rsidP="00BD3B29">
            <w:pPr>
              <w:pStyle w:val="Heading1"/>
              <w:jc w:val="center"/>
              <w:outlineLvl w:val="0"/>
            </w:pPr>
            <w:r w:rsidRPr="00AE6AE0">
              <w:t>-119.8</w:t>
            </w:r>
          </w:p>
        </w:tc>
        <w:tc>
          <w:tcPr>
            <w:tcW w:w="1887" w:type="dxa"/>
          </w:tcPr>
          <w:p w14:paraId="522DC4F1" w14:textId="77777777" w:rsidR="00732A9C" w:rsidRPr="00AE6AE0" w:rsidRDefault="00C618F4" w:rsidP="00BD3B29">
            <w:pPr>
              <w:pStyle w:val="Heading1"/>
              <w:jc w:val="center"/>
              <w:outlineLvl w:val="0"/>
            </w:pPr>
            <w:r w:rsidRPr="00AE6AE0">
              <w:t>-34</w:t>
            </w:r>
          </w:p>
          <w:p w14:paraId="27E29808" w14:textId="2BD32854" w:rsidR="00C618F4" w:rsidRPr="00AE6AE0" w:rsidRDefault="00C618F4" w:rsidP="00BD3B29">
            <w:pPr>
              <w:jc w:val="center"/>
              <w:rPr>
                <w:b/>
              </w:rPr>
            </w:pPr>
          </w:p>
        </w:tc>
      </w:tr>
      <w:tr w:rsidR="00732A9C" w14:paraId="6D8495EA" w14:textId="77777777" w:rsidTr="00732A9C">
        <w:trPr>
          <w:trHeight w:hRule="exact" w:val="691"/>
          <w:tblHeader/>
          <w:jc w:val="center"/>
        </w:trPr>
        <w:tc>
          <w:tcPr>
            <w:tcW w:w="1986" w:type="dxa"/>
          </w:tcPr>
          <w:p w14:paraId="6DA11DCB" w14:textId="77777777" w:rsidR="00732A9C" w:rsidRPr="00732A9C" w:rsidRDefault="00732A9C" w:rsidP="00BD3B29">
            <w:pPr>
              <w:pStyle w:val="Heading1"/>
              <w:outlineLvl w:val="0"/>
            </w:pPr>
            <w:r w:rsidRPr="00C47077">
              <w:t>INTERNATIONAL</w:t>
            </w:r>
          </w:p>
          <w:p w14:paraId="3F9BEEFD" w14:textId="28690966" w:rsidR="00732A9C" w:rsidRPr="00E5729D" w:rsidRDefault="00732A9C" w:rsidP="00BD3B29">
            <w:pPr>
              <w:pStyle w:val="Heading1"/>
              <w:outlineLvl w:val="0"/>
            </w:pPr>
            <w:r w:rsidRPr="00732A9C">
              <w:t xml:space="preserve"> </w:t>
            </w:r>
            <w:r w:rsidRPr="00E5729D">
              <w:t>ARRIVAL</w:t>
            </w:r>
            <w:r w:rsidR="00242581">
              <w:t>s</w:t>
            </w:r>
          </w:p>
        </w:tc>
        <w:tc>
          <w:tcPr>
            <w:tcW w:w="1851" w:type="dxa"/>
            <w:vAlign w:val="center"/>
          </w:tcPr>
          <w:p w14:paraId="5C2C491C" w14:textId="1D690D20" w:rsidR="00732A9C" w:rsidRPr="00C47077" w:rsidRDefault="00732A9C" w:rsidP="00BD3B29">
            <w:pPr>
              <w:pStyle w:val="Heading1"/>
              <w:jc w:val="center"/>
              <w:outlineLvl w:val="0"/>
            </w:pPr>
            <w:r w:rsidRPr="003B4F13">
              <w:t>8.1</w:t>
            </w:r>
          </w:p>
        </w:tc>
        <w:tc>
          <w:tcPr>
            <w:tcW w:w="1851" w:type="dxa"/>
            <w:vAlign w:val="center"/>
          </w:tcPr>
          <w:p w14:paraId="29FD91E9" w14:textId="2F3BACC5" w:rsidR="00732A9C" w:rsidRPr="00C47077" w:rsidRDefault="00732A9C" w:rsidP="00BD3B29">
            <w:pPr>
              <w:pStyle w:val="Heading1"/>
              <w:jc w:val="center"/>
              <w:outlineLvl w:val="0"/>
            </w:pPr>
            <w:r w:rsidRPr="003B4F13">
              <w:t>0.1</w:t>
            </w:r>
          </w:p>
        </w:tc>
        <w:tc>
          <w:tcPr>
            <w:tcW w:w="1667" w:type="dxa"/>
          </w:tcPr>
          <w:p w14:paraId="3FA86CCC" w14:textId="642D8296" w:rsidR="00732A9C" w:rsidRPr="003B4F13" w:rsidRDefault="00C618F4" w:rsidP="00BD3B29">
            <w:pPr>
              <w:pStyle w:val="Heading1"/>
              <w:jc w:val="center"/>
              <w:outlineLvl w:val="0"/>
            </w:pPr>
            <w:r>
              <w:t>-8.0</w:t>
            </w:r>
          </w:p>
        </w:tc>
        <w:tc>
          <w:tcPr>
            <w:tcW w:w="1887" w:type="dxa"/>
            <w:vAlign w:val="center"/>
          </w:tcPr>
          <w:p w14:paraId="7FD37035" w14:textId="63C96159" w:rsidR="00732A9C" w:rsidRPr="00C47077" w:rsidRDefault="00732A9C" w:rsidP="00BD3B29">
            <w:pPr>
              <w:pStyle w:val="Heading1"/>
              <w:jc w:val="center"/>
              <w:outlineLvl w:val="0"/>
            </w:pPr>
            <w:r w:rsidRPr="003B4F13">
              <w:t>-99</w:t>
            </w:r>
          </w:p>
        </w:tc>
      </w:tr>
      <w:tr w:rsidR="00732A9C" w14:paraId="7C12A4B3" w14:textId="77777777" w:rsidTr="00732A9C">
        <w:trPr>
          <w:trHeight w:hRule="exact" w:val="397"/>
          <w:tblHeader/>
          <w:jc w:val="center"/>
        </w:trPr>
        <w:tc>
          <w:tcPr>
            <w:tcW w:w="1986" w:type="dxa"/>
          </w:tcPr>
          <w:p w14:paraId="3DA9713B" w14:textId="77777777" w:rsidR="00732A9C" w:rsidRPr="00AE6AE0" w:rsidRDefault="00732A9C" w:rsidP="00BD3B29">
            <w:pPr>
              <w:pStyle w:val="Heading1"/>
              <w:outlineLvl w:val="0"/>
            </w:pPr>
            <w:r w:rsidRPr="00AE6AE0">
              <w:t>Total</w:t>
            </w:r>
          </w:p>
        </w:tc>
        <w:tc>
          <w:tcPr>
            <w:tcW w:w="1851" w:type="dxa"/>
          </w:tcPr>
          <w:p w14:paraId="2869CAB6" w14:textId="7429E506" w:rsidR="00732A9C" w:rsidRPr="00AE6AE0" w:rsidRDefault="00732A9C" w:rsidP="00BD3B29">
            <w:pPr>
              <w:pStyle w:val="Heading1"/>
              <w:jc w:val="center"/>
              <w:outlineLvl w:val="0"/>
            </w:pPr>
            <w:r w:rsidRPr="00AE6AE0">
              <w:t>359.1</w:t>
            </w:r>
          </w:p>
        </w:tc>
        <w:tc>
          <w:tcPr>
            <w:tcW w:w="1851" w:type="dxa"/>
          </w:tcPr>
          <w:p w14:paraId="7D927FA1" w14:textId="06441357" w:rsidR="00732A9C" w:rsidRPr="00AE6AE0" w:rsidRDefault="00732A9C" w:rsidP="00BD3B29">
            <w:pPr>
              <w:pStyle w:val="Heading1"/>
              <w:jc w:val="center"/>
              <w:outlineLvl w:val="0"/>
            </w:pPr>
            <w:r w:rsidRPr="00AE6AE0">
              <w:t>231.3</w:t>
            </w:r>
          </w:p>
        </w:tc>
        <w:tc>
          <w:tcPr>
            <w:tcW w:w="1667" w:type="dxa"/>
          </w:tcPr>
          <w:p w14:paraId="521FAEF7" w14:textId="0DF71D4D" w:rsidR="00732A9C" w:rsidRPr="00AE6AE0" w:rsidRDefault="00C618F4" w:rsidP="00BD3B29">
            <w:pPr>
              <w:pStyle w:val="Heading1"/>
              <w:jc w:val="center"/>
              <w:outlineLvl w:val="0"/>
            </w:pPr>
            <w:r w:rsidRPr="00AE6AE0">
              <w:t>-127.8</w:t>
            </w:r>
          </w:p>
        </w:tc>
        <w:tc>
          <w:tcPr>
            <w:tcW w:w="1887" w:type="dxa"/>
          </w:tcPr>
          <w:p w14:paraId="783749AF" w14:textId="3B62A34E" w:rsidR="00732A9C" w:rsidRPr="00AE6AE0" w:rsidRDefault="00732A9C" w:rsidP="00BD3B29">
            <w:pPr>
              <w:pStyle w:val="Heading1"/>
              <w:jc w:val="center"/>
              <w:outlineLvl w:val="0"/>
            </w:pPr>
            <w:r w:rsidRPr="00AE6AE0">
              <w:t>-36</w:t>
            </w:r>
          </w:p>
        </w:tc>
      </w:tr>
    </w:tbl>
    <w:p w14:paraId="3EBBC693" w14:textId="77777777" w:rsidR="002C294A" w:rsidRDefault="002C294A" w:rsidP="00744E50">
      <w:pPr>
        <w:pStyle w:val="Heading3"/>
      </w:pPr>
    </w:p>
    <w:p w14:paraId="0DE241D7" w14:textId="77777777" w:rsidR="000B42DB" w:rsidRDefault="000B42DB" w:rsidP="00744E50">
      <w:pPr>
        <w:pStyle w:val="Heading3"/>
      </w:pPr>
      <w:r>
        <w:t>INTERSTATE and INTRASTATE TRAVEL</w:t>
      </w:r>
    </w:p>
    <w:p w14:paraId="37E08054" w14:textId="61F8F2A9" w:rsidR="00ED352A" w:rsidRPr="00D37D70" w:rsidRDefault="00ED352A" w:rsidP="00D37D70">
      <w:pPr>
        <w:pStyle w:val="Heading4"/>
      </w:pPr>
      <w:r w:rsidRPr="00D37D70">
        <w:t xml:space="preserve">Year </w:t>
      </w:r>
      <w:r w:rsidR="00C9137F" w:rsidRPr="00D37D70">
        <w:t xml:space="preserve">ending </w:t>
      </w:r>
      <w:r w:rsidRPr="00D37D70">
        <w:t xml:space="preserve">March 2021 </w:t>
      </w:r>
    </w:p>
    <w:p w14:paraId="4BA801A5" w14:textId="38510A4B" w:rsidR="000B42DB" w:rsidRDefault="000C4532" w:rsidP="000B42DB">
      <w:r>
        <w:t>COVID-19 related travel</w:t>
      </w:r>
      <w:r w:rsidR="00F42375">
        <w:t xml:space="preserve"> restrictions and border closures have </w:t>
      </w:r>
      <w:r w:rsidR="005F5AE5">
        <w:t xml:space="preserve">stopped </w:t>
      </w:r>
      <w:r w:rsidR="00C9137F">
        <w:t xml:space="preserve">nearly all </w:t>
      </w:r>
      <w:r w:rsidR="005F5AE5">
        <w:t xml:space="preserve">outbound travel and </w:t>
      </w:r>
      <w:r w:rsidR="00F42375">
        <w:t>heavily impacted interstate movement</w:t>
      </w:r>
      <w:r w:rsidR="004D7149">
        <w:t xml:space="preserve"> in the past year</w:t>
      </w:r>
      <w:r w:rsidR="00F42375">
        <w:t xml:space="preserve">. </w:t>
      </w:r>
      <w:r w:rsidR="004D7149">
        <w:t xml:space="preserve">As a result </w:t>
      </w:r>
      <w:r w:rsidR="002926F2">
        <w:t xml:space="preserve">Australians </w:t>
      </w:r>
      <w:r w:rsidR="004D7149">
        <w:t>have switched</w:t>
      </w:r>
      <w:r w:rsidR="002926F2">
        <w:t xml:space="preserve"> to </w:t>
      </w:r>
      <w:r w:rsidR="004D7149">
        <w:t xml:space="preserve">taking longer </w:t>
      </w:r>
      <w:r w:rsidR="005F5AE5">
        <w:t xml:space="preserve">self-drive </w:t>
      </w:r>
      <w:r w:rsidR="004D7149">
        <w:t>trips w</w:t>
      </w:r>
      <w:r w:rsidR="002926F2">
        <w:t>ithin their home state</w:t>
      </w:r>
      <w:r w:rsidR="004D7149">
        <w:t>. In the year ending March 2021,</w:t>
      </w:r>
      <w:r w:rsidR="002926F2">
        <w:t xml:space="preserve"> the share of </w:t>
      </w:r>
      <w:r w:rsidR="000B42DB">
        <w:t>intrastate overnight trips and spend increase</w:t>
      </w:r>
      <w:r w:rsidR="002926F2">
        <w:t>d</w:t>
      </w:r>
      <w:r w:rsidR="000B42DB">
        <w:t xml:space="preserve"> acr</w:t>
      </w:r>
      <w:r w:rsidR="004D7149">
        <w:t>oss all states and territories</w:t>
      </w:r>
      <w:r w:rsidR="000B42DB">
        <w:t xml:space="preserve">. Nationally, the share of overnight intrastate trips increased </w:t>
      </w:r>
      <w:r>
        <w:t xml:space="preserve">from </w:t>
      </w:r>
      <w:r w:rsidRPr="004E0986">
        <w:t>67</w:t>
      </w:r>
      <w:r w:rsidR="00A83BE8" w:rsidRPr="004E0986">
        <w:t>% to</w:t>
      </w:r>
      <w:r w:rsidR="004D7149" w:rsidRPr="004E0986">
        <w:t xml:space="preserve"> 84</w:t>
      </w:r>
      <w:r w:rsidR="000B42DB" w:rsidRPr="004E0986">
        <w:t>%</w:t>
      </w:r>
      <w:r w:rsidR="000B42DB">
        <w:t xml:space="preserve"> </w:t>
      </w:r>
      <w:r>
        <w:t xml:space="preserve">for overnight trips and </w:t>
      </w:r>
      <w:r w:rsidRPr="004E0986">
        <w:t>4</w:t>
      </w:r>
      <w:r w:rsidR="00A83BE8" w:rsidRPr="004E0986">
        <w:t xml:space="preserve">4% </w:t>
      </w:r>
      <w:r w:rsidR="004D7149" w:rsidRPr="004E0986">
        <w:t>to 72</w:t>
      </w:r>
      <w:r w:rsidR="000B42DB" w:rsidRPr="004E0986">
        <w:t>%</w:t>
      </w:r>
      <w:r>
        <w:t xml:space="preserve"> for spend</w:t>
      </w:r>
      <w:r w:rsidR="000B42DB">
        <w:t xml:space="preserve">.  </w:t>
      </w:r>
    </w:p>
    <w:p w14:paraId="61442AFA" w14:textId="0F31AE63" w:rsidR="00ED352A" w:rsidRPr="00767827" w:rsidRDefault="00ED352A" w:rsidP="00D37D70">
      <w:pPr>
        <w:pStyle w:val="Heading4"/>
      </w:pPr>
      <w:r w:rsidRPr="00767827">
        <w:t>March quarter 2021</w:t>
      </w:r>
    </w:p>
    <w:p w14:paraId="62E9B6B8" w14:textId="4C10DD93" w:rsidR="00AA14EF" w:rsidRDefault="004D7149" w:rsidP="000B42DB">
      <w:r>
        <w:t xml:space="preserve">Fewer border closures and </w:t>
      </w:r>
      <w:r w:rsidR="000F7ECA">
        <w:t xml:space="preserve">an </w:t>
      </w:r>
      <w:r>
        <w:t>easing of restrictions has seen the interstate market improve in the March 2021</w:t>
      </w:r>
      <w:r w:rsidR="000F7ECA">
        <w:t xml:space="preserve"> quarter. However, </w:t>
      </w:r>
      <w:r w:rsidR="00BB6408">
        <w:t xml:space="preserve">trips were still </w:t>
      </w:r>
      <w:r w:rsidR="00444F83">
        <w:t xml:space="preserve">down </w:t>
      </w:r>
      <w:r w:rsidR="000F7ECA" w:rsidRPr="004E0986">
        <w:t>27%</w:t>
      </w:r>
      <w:r w:rsidR="00444F83" w:rsidRPr="004E0986">
        <w:t xml:space="preserve"> to 5.3 million</w:t>
      </w:r>
      <w:r w:rsidR="00BB6408">
        <w:t xml:space="preserve"> and spend was </w:t>
      </w:r>
      <w:r w:rsidR="00444F83">
        <w:t xml:space="preserve">down </w:t>
      </w:r>
      <w:r w:rsidR="000F7ECA" w:rsidRPr="004E0986">
        <w:t>28%</w:t>
      </w:r>
      <w:r w:rsidR="00444F83" w:rsidRPr="004E0986">
        <w:t xml:space="preserve"> to $6.6 billion</w:t>
      </w:r>
      <w:r w:rsidR="000F7ECA">
        <w:t xml:space="preserve"> on March quarter 2020. Comparatively, the intrastate market </w:t>
      </w:r>
      <w:r w:rsidR="005F5AE5">
        <w:t>has</w:t>
      </w:r>
      <w:r w:rsidR="000F7ECA">
        <w:t xml:space="preserve"> see</w:t>
      </w:r>
      <w:r w:rsidR="005F5AE5">
        <w:t>n</w:t>
      </w:r>
      <w:r w:rsidR="000F7ECA">
        <w:t xml:space="preserve"> growth </w:t>
      </w:r>
      <w:r w:rsidR="005F5AE5">
        <w:t>on</w:t>
      </w:r>
      <w:r w:rsidR="000F7ECA">
        <w:t xml:space="preserve"> the same period last year. Overnight trips were up </w:t>
      </w:r>
      <w:r w:rsidR="000F7ECA" w:rsidRPr="004E0986">
        <w:t>13%</w:t>
      </w:r>
      <w:r w:rsidR="00444F83" w:rsidRPr="004E0986">
        <w:t xml:space="preserve"> to 19.3</w:t>
      </w:r>
      <w:r w:rsidR="00444F83">
        <w:t xml:space="preserve"> million</w:t>
      </w:r>
      <w:r w:rsidR="000F7ECA">
        <w:t xml:space="preserve"> and spend a higher </w:t>
      </w:r>
      <w:r w:rsidR="000F7ECA" w:rsidRPr="004E0986">
        <w:t xml:space="preserve">30% </w:t>
      </w:r>
      <w:r w:rsidR="00444F83" w:rsidRPr="004E0986">
        <w:t>to $11.3 billion</w:t>
      </w:r>
      <w:r w:rsidR="000F7ECA">
        <w:t xml:space="preserve">. </w:t>
      </w:r>
    </w:p>
    <w:p w14:paraId="47F1C3AC" w14:textId="23AED7F0" w:rsidR="004D7149" w:rsidRDefault="00E45887" w:rsidP="000B42DB">
      <w:r>
        <w:t>R</w:t>
      </w:r>
      <w:r w:rsidR="00B0418C">
        <w:t>esults varied across the states and territories</w:t>
      </w:r>
      <w:r w:rsidR="00AA14EF">
        <w:t xml:space="preserve">. Due to a combination of snap lockdowns and border restrictions </w:t>
      </w:r>
      <w:r>
        <w:t xml:space="preserve">interstate spend </w:t>
      </w:r>
      <w:r w:rsidR="00C9137F">
        <w:t xml:space="preserve">was </w:t>
      </w:r>
      <w:r>
        <w:t xml:space="preserve">most impacted in Victoria </w:t>
      </w:r>
      <w:r w:rsidR="00FD1625">
        <w:t>(55% or $91</w:t>
      </w:r>
      <w:r w:rsidR="00242581">
        <w:t>8</w:t>
      </w:r>
      <w:r w:rsidR="00FD1625">
        <w:t xml:space="preserve"> million loss) </w:t>
      </w:r>
      <w:r>
        <w:t xml:space="preserve">and Western Australia </w:t>
      </w:r>
      <w:r w:rsidR="00FD1625">
        <w:t>(60% or $364 million loss)</w:t>
      </w:r>
      <w:r w:rsidR="00AA14EF">
        <w:t>. Intrastate spend was up for all states and territories</w:t>
      </w:r>
      <w:r>
        <w:t xml:space="preserve"> </w:t>
      </w:r>
      <w:r w:rsidR="009D338B">
        <w:t xml:space="preserve">(see Figure 1). </w:t>
      </w:r>
    </w:p>
    <w:p w14:paraId="739E4DB0" w14:textId="79671938" w:rsidR="000B42DB" w:rsidRDefault="000B42DB" w:rsidP="00142F6D">
      <w:pPr>
        <w:pStyle w:val="Heading4"/>
        <w:rPr>
          <w:vertAlign w:val="superscript"/>
        </w:rPr>
      </w:pPr>
      <w:r w:rsidRPr="00045560">
        <w:t xml:space="preserve">FIGURE </w:t>
      </w:r>
      <w:r w:rsidR="0053777D" w:rsidRPr="00045560">
        <w:t>1</w:t>
      </w:r>
      <w:r w:rsidRPr="00045560">
        <w:t xml:space="preserve">: </w:t>
      </w:r>
      <w:r w:rsidR="007901FB" w:rsidRPr="00045560">
        <w:t xml:space="preserve">PER CENT </w:t>
      </w:r>
      <w:r w:rsidR="00AA14EF">
        <w:t>CHANGE</w:t>
      </w:r>
      <w:r w:rsidR="00AA14EF" w:rsidRPr="00045560">
        <w:t xml:space="preserve"> </w:t>
      </w:r>
      <w:r w:rsidR="007901FB" w:rsidRPr="00045560">
        <w:t xml:space="preserve">IN INTERSTATE </w:t>
      </w:r>
      <w:r w:rsidR="00434E98">
        <w:t>AND INTRASTATE SPEND BY STATE</w:t>
      </w:r>
      <w:r w:rsidR="00AA14EF">
        <w:t xml:space="preserve"> VISITED</w:t>
      </w:r>
      <w:r w:rsidR="00434E98">
        <w:t>, MARCH QUARTER 2021</w:t>
      </w:r>
    </w:p>
    <w:p w14:paraId="2F06745E" w14:textId="1D2ADC06" w:rsidR="000B42DB" w:rsidRDefault="00142F6D" w:rsidP="00434E98">
      <w:pPr>
        <w:spacing w:after="0"/>
        <w:rPr>
          <w:b/>
          <w:vertAlign w:val="superscript"/>
        </w:rPr>
      </w:pPr>
      <w:r>
        <w:rPr>
          <w:noProof/>
          <w:lang w:eastAsia="en-AU"/>
        </w:rPr>
        <w:drawing>
          <wp:inline distT="0" distB="0" distL="0" distR="0" wp14:anchorId="5697F62A" wp14:editId="0EFFF4E9">
            <wp:extent cx="5829300" cy="3067050"/>
            <wp:effectExtent l="0" t="0" r="0" b="0"/>
            <wp:docPr id="1" name="Chart 1" descr="A column chart that shows the change in interstate and intrastate spend by state, for the March quarter 2021 compared to the same period last year:&#10;New South Wales had a 19% decline in interstate and 25% increase in intrastate spend.&#10;Victoria had a 55% decline in interstate and 16% increase in intrastate spend. &#10;Queensland had a 5% decline in interstate and 17% increase in intrastate spend.&#10;South Australia had a 17% decrease in interstate and 25% increase in intrastate spend. &#10;Western Australia had a 60% decline in interstate and 24% increase in intrastate spend.&#10;Tasmania had a 24% decline in interstate and 42% increase in intrastate spend.&#10;Northern Territory had a 24% decline in interstate and 26% increase in intrastate spend." title="FIGURE 1: PER CENT CHANGE IN INTERSTATE AND INTRASTATE SPEND BY STATE VISITED, MARCH QUARTER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A214D8" w14:textId="77777777" w:rsidR="000B42DB" w:rsidRDefault="000B42DB" w:rsidP="00744E50">
      <w:pPr>
        <w:pStyle w:val="Heading3"/>
      </w:pPr>
      <w:r>
        <w:t>Capital Cities and Regional Travel</w:t>
      </w:r>
    </w:p>
    <w:p w14:paraId="71E34AEB" w14:textId="4BD4FCD9" w:rsidR="00E07D37" w:rsidRPr="00D37D70" w:rsidRDefault="00E07D37" w:rsidP="00D37D70">
      <w:pPr>
        <w:pStyle w:val="Heading4"/>
      </w:pPr>
      <w:r w:rsidRPr="00D37D70">
        <w:t>Year ending March 2021</w:t>
      </w:r>
    </w:p>
    <w:p w14:paraId="71B023F3" w14:textId="3536B112" w:rsidR="002C66CD" w:rsidRDefault="00131AE7" w:rsidP="002C66CD">
      <w:r>
        <w:t>In a year impacted by COVID-19 c</w:t>
      </w:r>
      <w:r w:rsidR="0013103E">
        <w:t xml:space="preserve">apital cities </w:t>
      </w:r>
      <w:r w:rsidR="00C65650">
        <w:t xml:space="preserve">have been </w:t>
      </w:r>
      <w:r w:rsidR="0013103E">
        <w:t xml:space="preserve">hit harder </w:t>
      </w:r>
      <w:r w:rsidR="000F04B0">
        <w:t>than regional areas (Figure 2)</w:t>
      </w:r>
      <w:r w:rsidR="0013103E">
        <w:t xml:space="preserve">. During the </w:t>
      </w:r>
      <w:r w:rsidR="000B42DB">
        <w:t xml:space="preserve">year ending </w:t>
      </w:r>
      <w:r w:rsidR="00C90DDA">
        <w:t>March 2021</w:t>
      </w:r>
      <w:r w:rsidR="000B42DB">
        <w:t xml:space="preserve">, </w:t>
      </w:r>
      <w:r w:rsidR="00C90DDA">
        <w:t>o</w:t>
      </w:r>
      <w:r w:rsidR="000B42DB">
        <w:t>vernight</w:t>
      </w:r>
      <w:r w:rsidR="00C90DDA">
        <w:t xml:space="preserve"> trips to capital cities fell </w:t>
      </w:r>
      <w:r w:rsidR="00C90DDA" w:rsidRPr="00142F6D">
        <w:t>54</w:t>
      </w:r>
      <w:r w:rsidR="000B42DB" w:rsidRPr="00142F6D">
        <w:t xml:space="preserve">% </w:t>
      </w:r>
      <w:r w:rsidR="00D175CB" w:rsidRPr="00142F6D">
        <w:t xml:space="preserve">to </w:t>
      </w:r>
      <w:r w:rsidR="00C90DDA" w:rsidRPr="00142F6D">
        <w:t>21.6</w:t>
      </w:r>
      <w:r w:rsidR="000B42DB" w:rsidRPr="00142F6D">
        <w:t xml:space="preserve"> million</w:t>
      </w:r>
      <w:r w:rsidR="00C65650">
        <w:t xml:space="preserve">, </w:t>
      </w:r>
      <w:r w:rsidR="00B7620B">
        <w:t xml:space="preserve">more than </w:t>
      </w:r>
      <w:r w:rsidR="00C65650">
        <w:t xml:space="preserve">double the </w:t>
      </w:r>
      <w:r w:rsidR="00B7620B">
        <w:t xml:space="preserve">rate of </w:t>
      </w:r>
      <w:r w:rsidR="00C65650">
        <w:t>decline in</w:t>
      </w:r>
      <w:r w:rsidR="000B42DB">
        <w:t xml:space="preserve"> overnight</w:t>
      </w:r>
      <w:r w:rsidR="00C90DDA">
        <w:t xml:space="preserve"> trips to regional areas </w:t>
      </w:r>
      <w:r w:rsidR="00E07D37">
        <w:t>(</w:t>
      </w:r>
      <w:r w:rsidR="00C90DDA" w:rsidRPr="00142F6D">
        <w:t>24</w:t>
      </w:r>
      <w:r w:rsidR="000B42DB" w:rsidRPr="00142F6D">
        <w:t xml:space="preserve">% to </w:t>
      </w:r>
      <w:r w:rsidR="00C90DDA" w:rsidRPr="00142F6D">
        <w:t>53.6</w:t>
      </w:r>
      <w:r w:rsidR="000B42DB" w:rsidRPr="00142F6D">
        <w:t xml:space="preserve"> million</w:t>
      </w:r>
      <w:r w:rsidR="00C65650">
        <w:t>)</w:t>
      </w:r>
      <w:r w:rsidR="000B42DB">
        <w:t xml:space="preserve">. The </w:t>
      </w:r>
      <w:r w:rsidR="00F252DB">
        <w:t xml:space="preserve">stronger </w:t>
      </w:r>
      <w:r w:rsidR="00C9137F">
        <w:t>impact on</w:t>
      </w:r>
      <w:r w:rsidR="00F252DB">
        <w:t xml:space="preserve"> </w:t>
      </w:r>
      <w:r w:rsidR="000B42DB">
        <w:t>capital cities</w:t>
      </w:r>
      <w:r w:rsidR="00F20E0B">
        <w:t xml:space="preserve"> </w:t>
      </w:r>
      <w:r w:rsidR="000B42DB">
        <w:t>was even greater for spend.</w:t>
      </w:r>
      <w:r w:rsidR="00C90DDA">
        <w:t xml:space="preserve"> Spend fell </w:t>
      </w:r>
      <w:r w:rsidR="00C90DDA" w:rsidRPr="00142F6D">
        <w:t>65</w:t>
      </w:r>
      <w:r w:rsidR="000B42DB" w:rsidRPr="00142F6D">
        <w:t xml:space="preserve">% </w:t>
      </w:r>
      <w:r w:rsidR="0013103E" w:rsidRPr="00142F6D">
        <w:t xml:space="preserve">(down </w:t>
      </w:r>
      <w:r w:rsidR="00C90DDA" w:rsidRPr="00142F6D">
        <w:t>$24.6</w:t>
      </w:r>
      <w:r w:rsidR="000B42DB" w:rsidRPr="00142F6D">
        <w:t xml:space="preserve"> billion</w:t>
      </w:r>
      <w:r w:rsidR="0013103E" w:rsidRPr="00142F6D">
        <w:t>)</w:t>
      </w:r>
      <w:r w:rsidR="00C90DDA" w:rsidRPr="00142F6D">
        <w:t xml:space="preserve"> to $13.5</w:t>
      </w:r>
      <w:r w:rsidR="000B42DB" w:rsidRPr="00142F6D">
        <w:t xml:space="preserve"> billion</w:t>
      </w:r>
      <w:r w:rsidR="00B7620B">
        <w:t>,</w:t>
      </w:r>
      <w:r w:rsidR="0013103E">
        <w:t xml:space="preserve"> </w:t>
      </w:r>
      <w:r w:rsidR="00E861C2">
        <w:t xml:space="preserve">almost </w:t>
      </w:r>
      <w:r w:rsidR="00B7620B">
        <w:t xml:space="preserve">three times the </w:t>
      </w:r>
      <w:r w:rsidR="00B7620B" w:rsidRPr="007660C6">
        <w:t xml:space="preserve">21% </w:t>
      </w:r>
      <w:r w:rsidR="007660C6">
        <w:t xml:space="preserve">decline </w:t>
      </w:r>
      <w:r w:rsidR="00B7620B" w:rsidRPr="007660C6">
        <w:t>(down $8.5 billion)</w:t>
      </w:r>
      <w:r w:rsidR="0013103E">
        <w:t xml:space="preserve"> </w:t>
      </w:r>
      <w:r w:rsidR="00B7620B">
        <w:t xml:space="preserve">to </w:t>
      </w:r>
      <w:r w:rsidR="00B7620B" w:rsidRPr="007660C6">
        <w:t>$32.2 billion</w:t>
      </w:r>
      <w:r w:rsidR="0013103E">
        <w:t xml:space="preserve"> in regional areas</w:t>
      </w:r>
      <w:r w:rsidR="007660C6">
        <w:t>.</w:t>
      </w:r>
      <w:r w:rsidR="00F20E0B">
        <w:t xml:space="preserve"> </w:t>
      </w:r>
    </w:p>
    <w:p w14:paraId="2CC38D27" w14:textId="55755405" w:rsidR="00045560" w:rsidRPr="00CA5543" w:rsidRDefault="00045560" w:rsidP="00045560">
      <w:pPr>
        <w:spacing w:after="0"/>
        <w:rPr>
          <w:b/>
          <w:vertAlign w:val="superscript"/>
        </w:rPr>
      </w:pPr>
      <w:r w:rsidRPr="00D33271">
        <w:rPr>
          <w:b/>
        </w:rPr>
        <w:t xml:space="preserve">FIGURE </w:t>
      </w:r>
      <w:r>
        <w:rPr>
          <w:b/>
        </w:rPr>
        <w:t>2</w:t>
      </w:r>
      <w:r w:rsidRPr="00D33271">
        <w:rPr>
          <w:b/>
        </w:rPr>
        <w:t xml:space="preserve">: </w:t>
      </w:r>
      <w:r w:rsidR="00CA5543" w:rsidRPr="00CA5543">
        <w:rPr>
          <w:b/>
        </w:rPr>
        <w:t>CUMULATIVE</w:t>
      </w:r>
      <w:r w:rsidR="00CA5543">
        <w:rPr>
          <w:b/>
        </w:rPr>
        <w:t xml:space="preserve"> LOSSES IN DOMESTIC OVERNIGHT TRAVEL, </w:t>
      </w:r>
      <w:r w:rsidR="00CA5543" w:rsidRPr="00142F6D">
        <w:rPr>
          <w:b/>
        </w:rPr>
        <w:t>YEAR ENDING MARCH 2021</w:t>
      </w:r>
      <w:r w:rsidR="00B47828">
        <w:rPr>
          <w:b/>
          <w:vertAlign w:val="superscript"/>
        </w:rPr>
        <w:t>1</w:t>
      </w:r>
    </w:p>
    <w:p w14:paraId="49DA32CA" w14:textId="1125168A" w:rsidR="00045560" w:rsidRDefault="00CA5543" w:rsidP="00CA5543">
      <w:pPr>
        <w:spacing w:after="0"/>
      </w:pPr>
      <w:r>
        <w:rPr>
          <w:noProof/>
          <w:lang w:eastAsia="en-AU"/>
        </w:rPr>
        <w:drawing>
          <wp:inline distT="0" distB="0" distL="0" distR="0" wp14:anchorId="3B2EF228" wp14:editId="3CE46244">
            <wp:extent cx="5892800" cy="2876550"/>
            <wp:effectExtent l="0" t="0" r="12700" b="0"/>
            <wp:docPr id="14" name="Chart 14" descr="An area chart showing the cumulative losses in spend for capital cities and regional areas from April 2020 to March 2021. " title="FIGURE 2: CUMULATIVE LOSSES IN DOMESTIC OVERNIGHT TRAVEL, YEAR ENDING MARCH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47828">
        <w:rPr>
          <w:sz w:val="16"/>
          <w:szCs w:val="16"/>
          <w:vertAlign w:val="superscript"/>
        </w:rPr>
        <w:t>1</w:t>
      </w:r>
      <w:r w:rsidRPr="00CA5543">
        <w:rPr>
          <w:sz w:val="16"/>
          <w:szCs w:val="16"/>
        </w:rPr>
        <w:t xml:space="preserve"> </w:t>
      </w:r>
      <w:r w:rsidR="00FD1625">
        <w:rPr>
          <w:sz w:val="16"/>
          <w:szCs w:val="16"/>
        </w:rPr>
        <w:t>T</w:t>
      </w:r>
      <w:r w:rsidR="00FD1625" w:rsidRPr="00CA5543">
        <w:rPr>
          <w:sz w:val="16"/>
          <w:szCs w:val="16"/>
        </w:rPr>
        <w:t>he</w:t>
      </w:r>
      <w:r w:rsidRPr="00CA5543">
        <w:rPr>
          <w:sz w:val="16"/>
          <w:szCs w:val="16"/>
        </w:rPr>
        <w:t xml:space="preserve"> results of March 2020 were impacted by the start of the COVID-19 pandemic.</w:t>
      </w:r>
    </w:p>
    <w:p w14:paraId="08A52E1D" w14:textId="77777777" w:rsidR="00197843" w:rsidRDefault="00197843" w:rsidP="000B42DB"/>
    <w:p w14:paraId="0430693C" w14:textId="5041D0FD" w:rsidR="008103A9" w:rsidRPr="00767827" w:rsidRDefault="008103A9" w:rsidP="00D37D70">
      <w:pPr>
        <w:pStyle w:val="Heading4"/>
      </w:pPr>
      <w:r w:rsidRPr="00767827">
        <w:t>March quarter 2021</w:t>
      </w:r>
    </w:p>
    <w:p w14:paraId="13ECECEC" w14:textId="76549964" w:rsidR="00665B4F" w:rsidRDefault="00E861C2" w:rsidP="000B42DB">
      <w:r>
        <w:t xml:space="preserve">Regional areas continued to fare better than capital cities </w:t>
      </w:r>
      <w:r w:rsidR="00882C6C">
        <w:t>through</w:t>
      </w:r>
      <w:r w:rsidR="00665B4F">
        <w:t xml:space="preserve"> March quarter 2021. </w:t>
      </w:r>
      <w:r w:rsidR="008103A9">
        <w:t xml:space="preserve">Overnight trips to regional Australia were up </w:t>
      </w:r>
      <w:r w:rsidR="008103A9" w:rsidRPr="008103A9">
        <w:t>12% to 17.8 million</w:t>
      </w:r>
      <w:r w:rsidR="008103A9">
        <w:t xml:space="preserve"> and spend a </w:t>
      </w:r>
      <w:r w:rsidR="008103A9" w:rsidRPr="008103A9">
        <w:t>greater 23% or $2.3 billion to $12.0 billion</w:t>
      </w:r>
      <w:r w:rsidR="008103A9">
        <w:t>.</w:t>
      </w:r>
      <w:r w:rsidR="004342A8">
        <w:t xml:space="preserve"> The stronger growth in spend can be partially attributed to Australians taking longer </w:t>
      </w:r>
      <w:r w:rsidR="00C9137F">
        <w:t xml:space="preserve">regional </w:t>
      </w:r>
      <w:r w:rsidR="004342A8">
        <w:t>trips on average (up 6% to 4.1 nights).</w:t>
      </w:r>
      <w:r w:rsidR="008103A9">
        <w:t xml:space="preserve"> In contrast, o</w:t>
      </w:r>
      <w:r w:rsidR="00665B4F">
        <w:t xml:space="preserve">vernight trips to capital cities fell </w:t>
      </w:r>
      <w:r w:rsidR="00665B4F" w:rsidRPr="008103A9">
        <w:t>18% to 7.9 million</w:t>
      </w:r>
      <w:r w:rsidR="00665B4F">
        <w:t xml:space="preserve"> and spend a greater </w:t>
      </w:r>
      <w:r w:rsidR="00665B4F" w:rsidRPr="008103A9">
        <w:t>28% or $2.3 billion to $5.9 billion</w:t>
      </w:r>
      <w:r w:rsidR="00665B4F">
        <w:t xml:space="preserve">. </w:t>
      </w:r>
    </w:p>
    <w:p w14:paraId="027263DB" w14:textId="258ADF42" w:rsidR="00665B4F" w:rsidRPr="00CA5543" w:rsidRDefault="00665B4F" w:rsidP="00665B4F">
      <w:pPr>
        <w:spacing w:after="0"/>
        <w:rPr>
          <w:b/>
          <w:vertAlign w:val="superscript"/>
        </w:rPr>
      </w:pPr>
      <w:r w:rsidRPr="00D33271">
        <w:rPr>
          <w:b/>
        </w:rPr>
        <w:t xml:space="preserve">FIGURE </w:t>
      </w:r>
      <w:r>
        <w:rPr>
          <w:b/>
        </w:rPr>
        <w:t>3</w:t>
      </w:r>
      <w:r w:rsidRPr="00D33271">
        <w:rPr>
          <w:b/>
        </w:rPr>
        <w:t>: PER CENT CHANGE IN OVERNIGHT TRIPS</w:t>
      </w:r>
      <w:r>
        <w:rPr>
          <w:b/>
        </w:rPr>
        <w:t xml:space="preserve"> AND SPEND TO CAPITAL CITIES AND REGIONAL AREAS, MARCH QUARTER 2021</w:t>
      </w:r>
    </w:p>
    <w:p w14:paraId="7C77A6C7" w14:textId="5ECEDED1" w:rsidR="00665B4F" w:rsidRDefault="00665B4F" w:rsidP="000B42DB">
      <w:r>
        <w:rPr>
          <w:noProof/>
          <w:lang w:eastAsia="en-AU"/>
        </w:rPr>
        <w:drawing>
          <wp:inline distT="0" distB="0" distL="0" distR="0" wp14:anchorId="4146CE19" wp14:editId="5F1AC6F4">
            <wp:extent cx="6165850" cy="3448050"/>
            <wp:effectExtent l="0" t="0" r="6350" b="0"/>
            <wp:docPr id="15" name="Chart 15" descr="A column chart showing the per cent change in overnight trips and spend for capital cities and regional areas for the March quarter 2021 compared to the same period last year:&#10;Sydney saw a 30% decline in overnight trips and 33% decline in spend.&#10;Regional New South Wales saw a 20% increase in overnight trips and 31% increase in spend.&#10;Melbourne saw a 42% decline in overnight trips and 52% decline in spend.&#10;Regional Victoria saw a 6% increase in overnight trips and 23% increase in spend.&#10;Brisbane and the Gold Coast saw a 9% increase in overnight trips and 1% decline in spend.&#10;Regional Queensland saw a 2% increase in overnight trips and 15% increase in spend.&#10;Adelaide saw a 25% decline in overnight trips and 29% decline in spend.&#10;Regional South Australia saw a 20% increase in overnight trips and 44% increase in spend.&#10;Perth saw a 18% decline in overnight trips and 33% decline in spend.&#10;Regional Western Australia saw a 12% increase in overnight trips and 28% increase in spend.&#10;Tasmania saw no change in overnight trips and 13% decline in spend.&#10;Northern Territory saw a 15% decline in overnight trips and 7% decline in spend.&#10;ACT saw a 2% loss in overnight trips and 20% decline in spend." title="FIGURE 3: PER CENT CHANGE IN OVERNIGHT TRIPS AND SPEND TO CAPITAL CITIES AND REGIONAL AREAS, MARCH QUARTER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631B66" w14:textId="116056C7" w:rsidR="00B4794D" w:rsidRDefault="00B4794D" w:rsidP="00744E50">
      <w:pPr>
        <w:pStyle w:val="Heading3"/>
      </w:pPr>
      <w:r>
        <w:t>REASON FOR TRAVEL</w:t>
      </w:r>
    </w:p>
    <w:p w14:paraId="669BCB9C" w14:textId="77777777" w:rsidR="00201591" w:rsidRPr="00767827" w:rsidRDefault="00201591" w:rsidP="00D37D70">
      <w:pPr>
        <w:pStyle w:val="Heading4"/>
      </w:pPr>
      <w:r w:rsidRPr="00767827">
        <w:t>Year ending March 2021</w:t>
      </w:r>
    </w:p>
    <w:p w14:paraId="01DF1CE2" w14:textId="1B96D023" w:rsidR="00201591" w:rsidRDefault="00201591" w:rsidP="00201591">
      <w:pPr>
        <w:spacing w:after="120"/>
      </w:pPr>
      <w:r>
        <w:t>Holiday travel has rebounded better from the height of the COVID-19 pandemic than travel to visit friends and relatives (VFR) or for business. During the year ending March 2021 holiday trips fell 28% to 31.3 million and spend was down 33% to $25.9 billion.  VFR trips and spend declined 35% to 24.</w:t>
      </w:r>
      <w:r w:rsidR="00242581">
        <w:t>8</w:t>
      </w:r>
      <w:r>
        <w:t xml:space="preserve"> million and 44% to $8.8 billion respectively. Business has struggled most to recover with trips down 49% to 13.4 million and spend 60% to $8.</w:t>
      </w:r>
      <w:r w:rsidR="00242581">
        <w:t>5</w:t>
      </w:r>
      <w:r>
        <w:t xml:space="preserve"> billion</w:t>
      </w:r>
      <w:r w:rsidRPr="005C0907">
        <w:t xml:space="preserve">. </w:t>
      </w:r>
    </w:p>
    <w:p w14:paraId="0155B316" w14:textId="4FC3F6E2" w:rsidR="00CD0D78" w:rsidRPr="00767827" w:rsidRDefault="00CD0D78" w:rsidP="00D37D70">
      <w:pPr>
        <w:pStyle w:val="Heading4"/>
      </w:pPr>
      <w:r w:rsidRPr="00767827">
        <w:t>March quarter 2021</w:t>
      </w:r>
    </w:p>
    <w:p w14:paraId="4E4D8590" w14:textId="268D78BB" w:rsidR="00B47828" w:rsidRPr="00767827" w:rsidRDefault="00B47828" w:rsidP="00D37D70">
      <w:pPr>
        <w:pStyle w:val="Heading4"/>
        <w:rPr>
          <w:rFonts w:eastAsia="Calibri"/>
          <w:color w:val="008BB6" w:themeColor="text2"/>
        </w:rPr>
      </w:pPr>
      <w:r w:rsidRPr="00767827">
        <w:rPr>
          <w:rFonts w:eastAsia="Calibri"/>
        </w:rPr>
        <w:t>Holiday</w:t>
      </w:r>
      <w:r w:rsidRPr="00767827">
        <w:rPr>
          <w:rFonts w:eastAsia="Calibri"/>
          <w:color w:val="008BB6" w:themeColor="text2"/>
        </w:rPr>
        <w:t xml:space="preserve"> </w:t>
      </w:r>
    </w:p>
    <w:p w14:paraId="5A644C7B" w14:textId="1246B948" w:rsidR="00133A69" w:rsidRDefault="00EF2EA6" w:rsidP="00F5113C">
      <w:pPr>
        <w:spacing w:after="120"/>
        <w:rPr>
          <w:rFonts w:ascii="Arial" w:eastAsia="Calibri" w:hAnsi="Arial" w:cs="Arial"/>
        </w:rPr>
      </w:pPr>
      <w:r>
        <w:rPr>
          <w:rFonts w:ascii="Arial" w:eastAsia="Calibri" w:hAnsi="Arial" w:cs="Arial"/>
        </w:rPr>
        <w:t xml:space="preserve">March quarter results </w:t>
      </w:r>
      <w:r w:rsidR="00481239">
        <w:rPr>
          <w:rFonts w:ascii="Arial" w:eastAsia="Calibri" w:hAnsi="Arial" w:cs="Arial"/>
        </w:rPr>
        <w:t xml:space="preserve">show </w:t>
      </w:r>
      <w:r>
        <w:rPr>
          <w:rFonts w:ascii="Arial" w:eastAsia="Calibri" w:hAnsi="Arial" w:cs="Arial"/>
        </w:rPr>
        <w:t xml:space="preserve">the stronger recovery in holiday travel. </w:t>
      </w:r>
      <w:r w:rsidR="00133A69">
        <w:rPr>
          <w:rFonts w:ascii="Arial" w:eastAsia="Calibri" w:hAnsi="Arial" w:cs="Arial"/>
        </w:rPr>
        <w:t>Overall, t</w:t>
      </w:r>
      <w:r>
        <w:rPr>
          <w:rFonts w:ascii="Arial" w:eastAsia="Calibri" w:hAnsi="Arial" w:cs="Arial"/>
        </w:rPr>
        <w:t>rips and spend</w:t>
      </w:r>
      <w:r w:rsidR="00133A69">
        <w:rPr>
          <w:rFonts w:ascii="Arial" w:eastAsia="Calibri" w:hAnsi="Arial" w:cs="Arial"/>
        </w:rPr>
        <w:t xml:space="preserve"> </w:t>
      </w:r>
      <w:r>
        <w:rPr>
          <w:rFonts w:ascii="Arial" w:eastAsia="Calibri" w:hAnsi="Arial" w:cs="Arial"/>
        </w:rPr>
        <w:t>were up 19% and 13% respectively on March quarter 2020</w:t>
      </w:r>
      <w:r w:rsidR="00481239">
        <w:rPr>
          <w:rFonts w:ascii="Arial" w:eastAsia="Calibri" w:hAnsi="Arial" w:cs="Arial"/>
        </w:rPr>
        <w:t>. This</w:t>
      </w:r>
      <w:r>
        <w:rPr>
          <w:rFonts w:ascii="Arial" w:eastAsia="Calibri" w:hAnsi="Arial" w:cs="Arial"/>
        </w:rPr>
        <w:t xml:space="preserve"> </w:t>
      </w:r>
      <w:r w:rsidR="008C7C0B">
        <w:rPr>
          <w:rFonts w:ascii="Arial" w:eastAsia="Calibri" w:hAnsi="Arial" w:cs="Arial"/>
        </w:rPr>
        <w:t>growth was con</w:t>
      </w:r>
      <w:r w:rsidR="00B4794D">
        <w:rPr>
          <w:rFonts w:ascii="Arial" w:eastAsia="Calibri" w:hAnsi="Arial" w:cs="Arial"/>
        </w:rPr>
        <w:t>centrated in regional Australia and intrastate destinations</w:t>
      </w:r>
      <w:r w:rsidR="00481239">
        <w:rPr>
          <w:rFonts w:ascii="Arial" w:eastAsia="Calibri" w:hAnsi="Arial" w:cs="Arial"/>
        </w:rPr>
        <w:t xml:space="preserve"> </w:t>
      </w:r>
      <w:r w:rsidR="00481239" w:rsidRPr="008C7C0B">
        <w:rPr>
          <w:rFonts w:ascii="Arial" w:eastAsia="Calibri" w:hAnsi="Arial" w:cs="Arial"/>
        </w:rPr>
        <w:t>highlight</w:t>
      </w:r>
      <w:r w:rsidR="00481239">
        <w:rPr>
          <w:rFonts w:ascii="Arial" w:eastAsia="Calibri" w:hAnsi="Arial" w:cs="Arial"/>
        </w:rPr>
        <w:t>ing</w:t>
      </w:r>
      <w:r w:rsidR="00481239" w:rsidRPr="008C7C0B">
        <w:rPr>
          <w:rFonts w:ascii="Arial" w:eastAsia="Calibri" w:hAnsi="Arial" w:cs="Arial"/>
        </w:rPr>
        <w:t xml:space="preserve"> the extent to which Australians are currently substituting previous outbound, interstate and capital city holidays with longer length self-drive visits to regional areas close to home</w:t>
      </w:r>
      <w:r w:rsidR="00B4794D">
        <w:rPr>
          <w:rFonts w:ascii="Arial" w:eastAsia="Calibri" w:hAnsi="Arial" w:cs="Arial"/>
        </w:rPr>
        <w:t xml:space="preserve">. </w:t>
      </w:r>
    </w:p>
    <w:p w14:paraId="3CA924C0" w14:textId="710B2E52" w:rsidR="00F5113C" w:rsidRDefault="008C7C0B" w:rsidP="00F5113C">
      <w:pPr>
        <w:spacing w:after="120"/>
        <w:rPr>
          <w:rFonts w:ascii="Arial" w:eastAsia="Calibri" w:hAnsi="Arial" w:cs="Arial"/>
        </w:rPr>
      </w:pPr>
      <w:r>
        <w:rPr>
          <w:rFonts w:ascii="Arial" w:eastAsia="Calibri" w:hAnsi="Arial" w:cs="Arial"/>
        </w:rPr>
        <w:t xml:space="preserve">There were increases of </w:t>
      </w:r>
      <w:r w:rsidR="00FD24D5">
        <w:rPr>
          <w:rFonts w:ascii="Arial" w:eastAsia="Calibri" w:hAnsi="Arial" w:cs="Arial"/>
        </w:rPr>
        <w:t>30</w:t>
      </w:r>
      <w:r>
        <w:rPr>
          <w:rFonts w:ascii="Arial" w:eastAsia="Calibri" w:hAnsi="Arial" w:cs="Arial"/>
        </w:rPr>
        <w:t xml:space="preserve">% and </w:t>
      </w:r>
      <w:r w:rsidR="00FD24D5">
        <w:rPr>
          <w:rFonts w:ascii="Arial" w:eastAsia="Calibri" w:hAnsi="Arial" w:cs="Arial"/>
        </w:rPr>
        <w:t>33</w:t>
      </w:r>
      <w:r w:rsidRPr="008C7C0B">
        <w:rPr>
          <w:rFonts w:ascii="Arial" w:eastAsia="Calibri" w:hAnsi="Arial" w:cs="Arial"/>
        </w:rPr>
        <w:t>% in overnight holiday visitors to regional areas and intrastate destinations respectively</w:t>
      </w:r>
      <w:r>
        <w:rPr>
          <w:rFonts w:ascii="Arial" w:eastAsia="Calibri" w:hAnsi="Arial" w:cs="Arial"/>
        </w:rPr>
        <w:t xml:space="preserve">. </w:t>
      </w:r>
      <w:r w:rsidR="004E5D6A">
        <w:rPr>
          <w:rFonts w:ascii="Arial" w:eastAsia="Calibri" w:hAnsi="Arial" w:cs="Arial"/>
        </w:rPr>
        <w:t xml:space="preserve">Growth in holiday </w:t>
      </w:r>
      <w:r w:rsidR="004E5D6A" w:rsidRPr="008C7C0B">
        <w:rPr>
          <w:rFonts w:ascii="Arial" w:eastAsia="Calibri" w:hAnsi="Arial" w:cs="Arial"/>
        </w:rPr>
        <w:t xml:space="preserve">spend was </w:t>
      </w:r>
      <w:r w:rsidR="00133A69">
        <w:rPr>
          <w:rFonts w:ascii="Arial" w:eastAsia="Calibri" w:hAnsi="Arial" w:cs="Arial"/>
        </w:rPr>
        <w:t xml:space="preserve">even </w:t>
      </w:r>
      <w:r w:rsidR="004E5D6A" w:rsidRPr="008C7C0B">
        <w:rPr>
          <w:rFonts w:ascii="Arial" w:eastAsia="Calibri" w:hAnsi="Arial" w:cs="Arial"/>
        </w:rPr>
        <w:t xml:space="preserve">stronger, </w:t>
      </w:r>
      <w:r w:rsidR="004E5D6A">
        <w:rPr>
          <w:rFonts w:ascii="Arial" w:eastAsia="Calibri" w:hAnsi="Arial" w:cs="Arial"/>
        </w:rPr>
        <w:t xml:space="preserve">up </w:t>
      </w:r>
      <w:r w:rsidR="0049231C">
        <w:rPr>
          <w:rFonts w:ascii="Arial" w:eastAsia="Calibri" w:hAnsi="Arial" w:cs="Arial"/>
        </w:rPr>
        <w:t>38</w:t>
      </w:r>
      <w:r w:rsidR="004E5D6A" w:rsidRPr="008C7C0B">
        <w:rPr>
          <w:rFonts w:ascii="Arial" w:eastAsia="Calibri" w:hAnsi="Arial" w:cs="Arial"/>
        </w:rPr>
        <w:t xml:space="preserve">% for regional areas </w:t>
      </w:r>
      <w:r w:rsidR="004E5D6A">
        <w:rPr>
          <w:rFonts w:ascii="Arial" w:eastAsia="Calibri" w:hAnsi="Arial" w:cs="Arial"/>
        </w:rPr>
        <w:t xml:space="preserve">and 51% for intrastate trips (Figure 4). </w:t>
      </w:r>
      <w:r>
        <w:rPr>
          <w:rFonts w:ascii="Arial" w:eastAsia="Calibri" w:hAnsi="Arial" w:cs="Arial"/>
        </w:rPr>
        <w:t xml:space="preserve">Comparatively, holiday visitors to capital cities and interstate declined by 11% and </w:t>
      </w:r>
      <w:r w:rsidR="0049231C">
        <w:rPr>
          <w:rFonts w:ascii="Arial" w:eastAsia="Calibri" w:hAnsi="Arial" w:cs="Arial"/>
        </w:rPr>
        <w:t>21</w:t>
      </w:r>
      <w:r>
        <w:rPr>
          <w:rFonts w:ascii="Arial" w:eastAsia="Calibri" w:hAnsi="Arial" w:cs="Arial"/>
        </w:rPr>
        <w:t>%</w:t>
      </w:r>
      <w:r w:rsidR="004E5D6A">
        <w:rPr>
          <w:rFonts w:ascii="Arial" w:eastAsia="Calibri" w:hAnsi="Arial" w:cs="Arial"/>
        </w:rPr>
        <w:t xml:space="preserve"> and s</w:t>
      </w:r>
      <w:r w:rsidRPr="008C7C0B">
        <w:rPr>
          <w:rFonts w:ascii="Arial" w:eastAsia="Calibri" w:hAnsi="Arial" w:cs="Arial"/>
        </w:rPr>
        <w:t xml:space="preserve">pend was also down 25% and </w:t>
      </w:r>
      <w:r w:rsidR="0049231C">
        <w:rPr>
          <w:rFonts w:ascii="Arial" w:eastAsia="Calibri" w:hAnsi="Arial" w:cs="Arial"/>
        </w:rPr>
        <w:t>28</w:t>
      </w:r>
      <w:r w:rsidRPr="008C7C0B">
        <w:rPr>
          <w:rFonts w:ascii="Arial" w:eastAsia="Calibri" w:hAnsi="Arial" w:cs="Arial"/>
        </w:rPr>
        <w:t>% respectively.</w:t>
      </w:r>
      <w:r>
        <w:rPr>
          <w:rFonts w:ascii="Arial" w:eastAsia="Calibri" w:hAnsi="Arial" w:cs="Arial"/>
        </w:rPr>
        <w:t xml:space="preserve"> </w:t>
      </w:r>
    </w:p>
    <w:p w14:paraId="612FE436" w14:textId="3E3EC48A" w:rsidR="00CD0D78" w:rsidRPr="00767827" w:rsidRDefault="00CD0D78" w:rsidP="00D37D70">
      <w:pPr>
        <w:pStyle w:val="Heading4"/>
        <w:rPr>
          <w:rFonts w:eastAsia="Calibri"/>
          <w:color w:val="008BB6" w:themeColor="text2"/>
        </w:rPr>
      </w:pPr>
      <w:r w:rsidRPr="00767827">
        <w:rPr>
          <w:rFonts w:eastAsia="Calibri"/>
        </w:rPr>
        <w:t>Visiting friends and relatives</w:t>
      </w:r>
    </w:p>
    <w:p w14:paraId="267A4657" w14:textId="46DA4ED8" w:rsidR="004E5D6A" w:rsidRDefault="0049231C" w:rsidP="008C7C0B">
      <w:pPr>
        <w:spacing w:after="120"/>
        <w:rPr>
          <w:rFonts w:ascii="Arial" w:eastAsia="Calibri" w:hAnsi="Arial" w:cs="Arial"/>
        </w:rPr>
      </w:pPr>
      <w:r>
        <w:rPr>
          <w:rFonts w:ascii="Arial" w:eastAsia="Calibri" w:hAnsi="Arial" w:cs="Arial"/>
        </w:rPr>
        <w:t xml:space="preserve">VFR did not see as strong </w:t>
      </w:r>
      <w:r w:rsidR="00767827">
        <w:rPr>
          <w:rFonts w:ascii="Arial" w:eastAsia="Calibri" w:hAnsi="Arial" w:cs="Arial"/>
        </w:rPr>
        <w:t xml:space="preserve">a rate of </w:t>
      </w:r>
      <w:r>
        <w:rPr>
          <w:rFonts w:ascii="Arial" w:eastAsia="Calibri" w:hAnsi="Arial" w:cs="Arial"/>
        </w:rPr>
        <w:t xml:space="preserve">growth for regional areas and intrastate travel and the divergence with capital cities and interstate destinations was not as marked. Visitors were up 2% for regional Australia and 5% for intrastate compared with falls of 3% for capital cities and 12% for interstate destinations. </w:t>
      </w:r>
      <w:r w:rsidR="00A85C16">
        <w:rPr>
          <w:rFonts w:ascii="Arial" w:eastAsia="Calibri" w:hAnsi="Arial" w:cs="Arial"/>
        </w:rPr>
        <w:t>S</w:t>
      </w:r>
      <w:r>
        <w:rPr>
          <w:rFonts w:ascii="Arial" w:eastAsia="Calibri" w:hAnsi="Arial" w:cs="Arial"/>
        </w:rPr>
        <w:t xml:space="preserve">pend increased </w:t>
      </w:r>
      <w:r w:rsidR="00A85C16">
        <w:rPr>
          <w:rFonts w:ascii="Arial" w:eastAsia="Calibri" w:hAnsi="Arial" w:cs="Arial"/>
        </w:rPr>
        <w:t>10% and 13% for regional areas and intrastate travel but was down 6% and 8% for the capitals and interstate destinations respectively</w:t>
      </w:r>
      <w:r w:rsidR="00CD0D78">
        <w:rPr>
          <w:rFonts w:ascii="Arial" w:eastAsia="Calibri" w:hAnsi="Arial" w:cs="Arial"/>
        </w:rPr>
        <w:t>.</w:t>
      </w:r>
      <w:r w:rsidR="00E803C1">
        <w:rPr>
          <w:rFonts w:ascii="Arial" w:eastAsia="Calibri" w:hAnsi="Arial" w:cs="Arial"/>
        </w:rPr>
        <w:t xml:space="preserve"> </w:t>
      </w:r>
    </w:p>
    <w:p w14:paraId="251E99D5" w14:textId="1C5D6AE3" w:rsidR="00201591" w:rsidRPr="00767827" w:rsidRDefault="00CD0D78" w:rsidP="00D37D70">
      <w:pPr>
        <w:pStyle w:val="Heading4"/>
        <w:rPr>
          <w:rFonts w:eastAsia="Calibri"/>
        </w:rPr>
      </w:pPr>
      <w:r w:rsidRPr="00767827">
        <w:rPr>
          <w:rFonts w:eastAsia="Calibri"/>
        </w:rPr>
        <w:t>Business</w:t>
      </w:r>
    </w:p>
    <w:p w14:paraId="2D6BAAB7" w14:textId="0906C39E" w:rsidR="00E803C1" w:rsidRDefault="00E803C1" w:rsidP="008C7C0B">
      <w:pPr>
        <w:spacing w:after="120"/>
        <w:rPr>
          <w:rFonts w:ascii="Arial" w:eastAsia="Calibri" w:hAnsi="Arial" w:cs="Arial"/>
        </w:rPr>
      </w:pPr>
      <w:r>
        <w:rPr>
          <w:rFonts w:ascii="Arial" w:eastAsia="Calibri" w:hAnsi="Arial" w:cs="Arial"/>
        </w:rPr>
        <w:t xml:space="preserve">Business travel recorded large losses in March quarter 2021, most notably in capital cities and </w:t>
      </w:r>
      <w:r w:rsidR="00A85C16">
        <w:rPr>
          <w:rFonts w:ascii="Arial" w:eastAsia="Calibri" w:hAnsi="Arial" w:cs="Arial"/>
        </w:rPr>
        <w:t>for</w:t>
      </w:r>
      <w:r>
        <w:rPr>
          <w:rFonts w:ascii="Arial" w:eastAsia="Calibri" w:hAnsi="Arial" w:cs="Arial"/>
        </w:rPr>
        <w:t xml:space="preserve"> interstate</w:t>
      </w:r>
      <w:r w:rsidR="00A85C16">
        <w:rPr>
          <w:rFonts w:ascii="Arial" w:eastAsia="Calibri" w:hAnsi="Arial" w:cs="Arial"/>
        </w:rPr>
        <w:t xml:space="preserve"> travel</w:t>
      </w:r>
      <w:r>
        <w:rPr>
          <w:rFonts w:ascii="Arial" w:eastAsia="Calibri" w:hAnsi="Arial" w:cs="Arial"/>
        </w:rPr>
        <w:t xml:space="preserve">. Overnight trips were down </w:t>
      </w:r>
      <w:r w:rsidR="00A85C16">
        <w:rPr>
          <w:rFonts w:ascii="Arial" w:eastAsia="Calibri" w:hAnsi="Arial" w:cs="Arial"/>
        </w:rPr>
        <w:t>49</w:t>
      </w:r>
      <w:r>
        <w:rPr>
          <w:rFonts w:ascii="Arial" w:eastAsia="Calibri" w:hAnsi="Arial" w:cs="Arial"/>
        </w:rPr>
        <w:t xml:space="preserve">% in capital cities and </w:t>
      </w:r>
      <w:r w:rsidR="00A85C16">
        <w:rPr>
          <w:rFonts w:ascii="Arial" w:eastAsia="Calibri" w:hAnsi="Arial" w:cs="Arial"/>
        </w:rPr>
        <w:t>54</w:t>
      </w:r>
      <w:r>
        <w:rPr>
          <w:rFonts w:ascii="Arial" w:eastAsia="Calibri" w:hAnsi="Arial" w:cs="Arial"/>
        </w:rPr>
        <w:t xml:space="preserve">% for interstate destinations </w:t>
      </w:r>
      <w:r w:rsidR="00A85C16">
        <w:rPr>
          <w:rFonts w:ascii="Arial" w:eastAsia="Calibri" w:hAnsi="Arial" w:cs="Arial"/>
        </w:rPr>
        <w:t>and</w:t>
      </w:r>
      <w:r>
        <w:rPr>
          <w:rFonts w:ascii="Arial" w:eastAsia="Calibri" w:hAnsi="Arial" w:cs="Arial"/>
        </w:rPr>
        <w:t xml:space="preserve"> spend down a similar </w:t>
      </w:r>
      <w:r w:rsidR="00A85C16">
        <w:rPr>
          <w:rFonts w:ascii="Arial" w:eastAsia="Calibri" w:hAnsi="Arial" w:cs="Arial"/>
        </w:rPr>
        <w:t>55</w:t>
      </w:r>
      <w:r>
        <w:rPr>
          <w:rFonts w:ascii="Arial" w:eastAsia="Calibri" w:hAnsi="Arial" w:cs="Arial"/>
        </w:rPr>
        <w:t xml:space="preserve">% and </w:t>
      </w:r>
      <w:r w:rsidR="00A85C16">
        <w:rPr>
          <w:rFonts w:ascii="Arial" w:eastAsia="Calibri" w:hAnsi="Arial" w:cs="Arial"/>
        </w:rPr>
        <w:t>51</w:t>
      </w:r>
      <w:r>
        <w:rPr>
          <w:rFonts w:ascii="Arial" w:eastAsia="Calibri" w:hAnsi="Arial" w:cs="Arial"/>
        </w:rPr>
        <w:t xml:space="preserve">% </w:t>
      </w:r>
      <w:r w:rsidR="00A85C16">
        <w:rPr>
          <w:rFonts w:ascii="Arial" w:eastAsia="Calibri" w:hAnsi="Arial" w:cs="Arial"/>
        </w:rPr>
        <w:t>respectively</w:t>
      </w:r>
      <w:r>
        <w:rPr>
          <w:rFonts w:ascii="Arial" w:eastAsia="Calibri" w:hAnsi="Arial" w:cs="Arial"/>
        </w:rPr>
        <w:t>.</w:t>
      </w:r>
      <w:r w:rsidR="00793123">
        <w:rPr>
          <w:rFonts w:ascii="Arial" w:eastAsia="Calibri" w:hAnsi="Arial" w:cs="Arial"/>
        </w:rPr>
        <w:t xml:space="preserve"> </w:t>
      </w:r>
    </w:p>
    <w:p w14:paraId="681ECB0C" w14:textId="77777777" w:rsidR="00947625" w:rsidRDefault="00947625" w:rsidP="008C7C0B">
      <w:pPr>
        <w:spacing w:after="0"/>
        <w:rPr>
          <w:rFonts w:ascii="Arial" w:eastAsia="Calibri" w:hAnsi="Arial" w:cs="Arial"/>
          <w:b/>
        </w:rPr>
      </w:pPr>
    </w:p>
    <w:p w14:paraId="03F19A0F" w14:textId="74D2E92D" w:rsidR="008C7C0B" w:rsidRPr="008C7C0B" w:rsidRDefault="008C7C0B" w:rsidP="008C7C0B">
      <w:pPr>
        <w:spacing w:after="0"/>
        <w:rPr>
          <w:rFonts w:ascii="Arial" w:eastAsia="Calibri" w:hAnsi="Arial" w:cs="Arial"/>
          <w:b/>
        </w:rPr>
      </w:pPr>
      <w:r w:rsidRPr="008C7C0B">
        <w:rPr>
          <w:rFonts w:ascii="Arial" w:eastAsia="Calibri" w:hAnsi="Arial" w:cs="Arial"/>
          <w:b/>
        </w:rPr>
        <w:t>FIGURE 4: PER CENT CHANGE IN OVERNIGHT SPEND BY REASON FOR TRAVEL, MARCH QUARTER 2021</w:t>
      </w:r>
    </w:p>
    <w:p w14:paraId="051F006F" w14:textId="39A09A12" w:rsidR="00B4794D" w:rsidRPr="00B4794D" w:rsidRDefault="00B47828" w:rsidP="00B4794D">
      <w:r>
        <w:rPr>
          <w:noProof/>
          <w:lang w:eastAsia="en-AU"/>
        </w:rPr>
        <w:drawing>
          <wp:inline distT="0" distB="0" distL="0" distR="0" wp14:anchorId="61436700" wp14:editId="0128C4FE">
            <wp:extent cx="6254750" cy="4171950"/>
            <wp:effectExtent l="0" t="0" r="12700" b="0"/>
            <wp:docPr id="9" name="Chart 9" descr="A column chart showing the per cent change in overnight spend by reason for travel for the March quarter 2021.&#10;In capital cities spend fell 25% for holiday travel, 6% for visits to friends and relatives and 55% for business travel. &#10;Spend for interstate destinations fell 28% for holiday travel, 8% for visits to friends and relatives and 51% for business travel. &#10;In regional areas spend grew 38% for holiday travel, 10% for visits to friends and relatives but fell 2% for business travel. &#10;Spend for intrastate destinations grew 51% for holiday travel, 13% for visits to friends and relatives but fell 8% for business travel. " title="FIGURE 4: PER CENT CHANGE IN OVERNIGHT SPEND BY REASON FOR TRAVEL, MARCH QUARTER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31D008" w14:textId="77777777" w:rsidR="00767827" w:rsidRDefault="00767827" w:rsidP="00767827">
      <w:pPr>
        <w:pStyle w:val="Heading3"/>
      </w:pPr>
      <w:r>
        <w:t>TRAVEL MODE</w:t>
      </w:r>
    </w:p>
    <w:p w14:paraId="011CF27D" w14:textId="77777777" w:rsidR="002715CF" w:rsidRDefault="00767827" w:rsidP="00767827">
      <w:r>
        <w:t xml:space="preserve">There has been a significant shift in the travel modes used for domestic overnight trips in </w:t>
      </w:r>
      <w:r w:rsidRPr="00FD20A5">
        <w:t xml:space="preserve">comparison to the same period in 2020. </w:t>
      </w:r>
      <w:r>
        <w:t>During the March quarter 2021, domestic overnight trips taken by self-drive vehicle increased in number by 13% to reach 21 million. In contrast trips by air fell 35% to 3.3 million.</w:t>
      </w:r>
    </w:p>
    <w:p w14:paraId="4FD42DBA" w14:textId="77777777" w:rsidR="00767827" w:rsidRDefault="00767827" w:rsidP="00767827">
      <w:r w:rsidRPr="00FD20A5">
        <w:t xml:space="preserve">Travel by self-drive vehicle accounted for </w:t>
      </w:r>
      <w:r w:rsidRPr="00592A7A">
        <w:t xml:space="preserve">85% </w:t>
      </w:r>
      <w:r w:rsidRPr="00FD20A5">
        <w:t xml:space="preserve">of all domestic overnight trips in the March </w:t>
      </w:r>
      <w:r>
        <w:t xml:space="preserve">quarter </w:t>
      </w:r>
      <w:r w:rsidRPr="00FD20A5">
        <w:t xml:space="preserve">2021 up from </w:t>
      </w:r>
      <w:r w:rsidRPr="00592A7A">
        <w:t>76%</w:t>
      </w:r>
      <w:r w:rsidRPr="00FD20A5">
        <w:t xml:space="preserve"> on the same period in 2020. In contrast, overnight trips involving air travel accounted for only </w:t>
      </w:r>
      <w:r w:rsidRPr="00592A7A">
        <w:t>13%</w:t>
      </w:r>
      <w:r w:rsidRPr="00FD20A5">
        <w:t xml:space="preserve"> </w:t>
      </w:r>
      <w:r>
        <w:t>of trips, down</w:t>
      </w:r>
      <w:r w:rsidRPr="00FD20A5">
        <w:t xml:space="preserve"> from 21% in March </w:t>
      </w:r>
      <w:r>
        <w:t xml:space="preserve">quarter </w:t>
      </w:r>
      <w:r w:rsidRPr="00FD20A5">
        <w:t>2020.</w:t>
      </w:r>
      <w:r>
        <w:t xml:space="preserve">  </w:t>
      </w:r>
    </w:p>
    <w:p w14:paraId="71210974" w14:textId="00608473" w:rsidR="00986AE3" w:rsidRDefault="00986AE3" w:rsidP="00744E50">
      <w:pPr>
        <w:pStyle w:val="Heading3"/>
      </w:pPr>
      <w:r>
        <w:t xml:space="preserve">AccomModation </w:t>
      </w:r>
    </w:p>
    <w:p w14:paraId="4561B5F0" w14:textId="44534CB8" w:rsidR="006633C1" w:rsidRPr="00767827" w:rsidRDefault="006633C1" w:rsidP="00160AF2">
      <w:pPr>
        <w:pStyle w:val="Heading4"/>
      </w:pPr>
      <w:r w:rsidRPr="00767827">
        <w:t>Year ending March 2021</w:t>
      </w:r>
    </w:p>
    <w:p w14:paraId="49CE4AE9" w14:textId="2BE2D0EB" w:rsidR="00F01686" w:rsidRDefault="00A1310A" w:rsidP="00F01686">
      <w:r>
        <w:t xml:space="preserve">In a year fully impacted by COVID-19 </w:t>
      </w:r>
      <w:r w:rsidR="001141AB">
        <w:t>v</w:t>
      </w:r>
      <w:r w:rsidR="00F01686" w:rsidRPr="009660B9">
        <w:t xml:space="preserve">isitor nights fell </w:t>
      </w:r>
      <w:r w:rsidR="00477258" w:rsidRPr="006633C1">
        <w:t>31</w:t>
      </w:r>
      <w:r w:rsidR="00F01686" w:rsidRPr="006633C1">
        <w:t>%</w:t>
      </w:r>
      <w:r w:rsidR="00F01686" w:rsidRPr="009660B9">
        <w:t xml:space="preserve"> </w:t>
      </w:r>
      <w:r w:rsidR="001141AB">
        <w:t xml:space="preserve">(down </w:t>
      </w:r>
      <w:r w:rsidR="00477258" w:rsidRPr="006633C1">
        <w:t>123.9</w:t>
      </w:r>
      <w:r w:rsidR="00F01686" w:rsidRPr="006633C1">
        <w:t xml:space="preserve"> million nights</w:t>
      </w:r>
      <w:r>
        <w:t xml:space="preserve">) </w:t>
      </w:r>
      <w:r w:rsidR="001E5BA9">
        <w:t xml:space="preserve">to 281.1 million </w:t>
      </w:r>
      <w:r>
        <w:t>for</w:t>
      </w:r>
      <w:r w:rsidR="001141AB">
        <w:t xml:space="preserve"> </w:t>
      </w:r>
      <w:r w:rsidR="00F01686" w:rsidRPr="009660B9">
        <w:t xml:space="preserve">the </w:t>
      </w:r>
      <w:r w:rsidR="00477258">
        <w:t>year ending March 2021</w:t>
      </w:r>
      <w:r w:rsidR="00F01686" w:rsidRPr="009660B9">
        <w:t>.</w:t>
      </w:r>
      <w:r>
        <w:t xml:space="preserve"> </w:t>
      </w:r>
      <w:r w:rsidR="00AF2362">
        <w:t>The fall in nights was much larger for capital cities than regional areas. Nights in capital cities fell 52% (down 76.2 million</w:t>
      </w:r>
      <w:r w:rsidR="00750DF6">
        <w:t xml:space="preserve"> nights</w:t>
      </w:r>
      <w:r w:rsidR="00AF2362">
        <w:t xml:space="preserve">), almost </w:t>
      </w:r>
      <w:r w:rsidR="00C52F0B">
        <w:t>three times the 18% decline in nights in regional areas (down 47.5 million</w:t>
      </w:r>
      <w:r w:rsidR="00750DF6">
        <w:t xml:space="preserve"> nights</w:t>
      </w:r>
      <w:r w:rsidR="00C52F0B">
        <w:t xml:space="preserve">). Hotels, motels and resorts were the hardest hit in the year ending March 2021, </w:t>
      </w:r>
      <w:r w:rsidR="00750DF6">
        <w:t xml:space="preserve">recording an overall 47% fall in nights. This </w:t>
      </w:r>
      <w:r w:rsidR="00790561">
        <w:t>decline</w:t>
      </w:r>
      <w:r w:rsidR="00750DF6">
        <w:t xml:space="preserve"> was much greater in capital cities, down 66% or 32.8 million nights compared to a 27% or 12.9 million fall in nights in regional areas. </w:t>
      </w:r>
      <w:r w:rsidR="00C52F0B">
        <w:t xml:space="preserve"> </w:t>
      </w:r>
      <w:bookmarkStart w:id="0" w:name="_GoBack"/>
      <w:bookmarkEnd w:id="0"/>
    </w:p>
    <w:p w14:paraId="09E42B06" w14:textId="5597D3AA" w:rsidR="006633C1" w:rsidRPr="00767827" w:rsidRDefault="006633C1" w:rsidP="00160AF2">
      <w:pPr>
        <w:pStyle w:val="Heading4"/>
      </w:pPr>
      <w:r w:rsidRPr="00767827">
        <w:t>March quarter 2021</w:t>
      </w:r>
    </w:p>
    <w:p w14:paraId="4BAB240F" w14:textId="70BDFCFD" w:rsidR="000E6483" w:rsidRDefault="00CA7064" w:rsidP="00986AE3">
      <w:r>
        <w:t xml:space="preserve">In a positive sign, visitor nights were up </w:t>
      </w:r>
      <w:r w:rsidRPr="006633C1">
        <w:t>6%</w:t>
      </w:r>
      <w:r>
        <w:t xml:space="preserve"> in the March quarter 2021 in comparison to March quarter 2020, which was impacted by bushfires and the start of the COVID-19 pandemic. </w:t>
      </w:r>
      <w:r w:rsidR="00ED105A">
        <w:t xml:space="preserve">During the </w:t>
      </w:r>
      <w:r w:rsidR="00A1310A">
        <w:t>quarter</w:t>
      </w:r>
      <w:r w:rsidR="00ED105A">
        <w:t xml:space="preserve"> n</w:t>
      </w:r>
      <w:r w:rsidR="00F01686" w:rsidRPr="009660B9">
        <w:t>ights</w:t>
      </w:r>
      <w:r w:rsidR="00F01686">
        <w:t xml:space="preserve"> in </w:t>
      </w:r>
      <w:r w:rsidR="00F01686" w:rsidRPr="009660B9">
        <w:t xml:space="preserve">hotels, motels and resorts </w:t>
      </w:r>
      <w:r w:rsidR="00377500">
        <w:t>were</w:t>
      </w:r>
      <w:r w:rsidR="00A1310A">
        <w:t xml:space="preserve"> up</w:t>
      </w:r>
      <w:r w:rsidR="00F01686" w:rsidRPr="009660B9">
        <w:t xml:space="preserve"> </w:t>
      </w:r>
      <w:r w:rsidR="00A1310A" w:rsidRPr="006633C1">
        <w:t>1</w:t>
      </w:r>
      <w:r w:rsidR="00F01686" w:rsidRPr="006633C1">
        <w:t xml:space="preserve">% </w:t>
      </w:r>
      <w:r w:rsidR="00ED105A" w:rsidRPr="006633C1">
        <w:t>(</w:t>
      </w:r>
      <w:r w:rsidR="006F54D0" w:rsidRPr="006633C1">
        <w:t xml:space="preserve">or </w:t>
      </w:r>
      <w:r w:rsidR="00A1310A" w:rsidRPr="006633C1">
        <w:t>176,000 nights</w:t>
      </w:r>
      <w:r w:rsidR="00ED105A" w:rsidRPr="006633C1">
        <w:t>)</w:t>
      </w:r>
      <w:r w:rsidR="00A1310A">
        <w:t xml:space="preserve"> </w:t>
      </w:r>
      <w:r w:rsidR="001E5BA9">
        <w:t>to 18.9 million. H</w:t>
      </w:r>
      <w:r w:rsidR="00A1310A">
        <w:t>owever</w:t>
      </w:r>
      <w:r w:rsidR="00377500">
        <w:t>,</w:t>
      </w:r>
      <w:r w:rsidR="00A1310A">
        <w:t xml:space="preserve"> </w:t>
      </w:r>
      <w:r w:rsidR="001E5BA9">
        <w:t xml:space="preserve">results </w:t>
      </w:r>
      <w:r w:rsidR="00A1310A">
        <w:t xml:space="preserve">differed vastly </w:t>
      </w:r>
      <w:r w:rsidR="001E5BA9">
        <w:t xml:space="preserve">between </w:t>
      </w:r>
      <w:r w:rsidR="00A1310A">
        <w:t>regional areas</w:t>
      </w:r>
      <w:r w:rsidR="001E5BA9">
        <w:t xml:space="preserve"> and capital cities</w:t>
      </w:r>
      <w:r w:rsidR="00F01686" w:rsidRPr="009660B9">
        <w:t>.</w:t>
      </w:r>
      <w:r w:rsidR="006F54D0">
        <w:t xml:space="preserve"> </w:t>
      </w:r>
      <w:r w:rsidR="001E5BA9">
        <w:t>Buoyed by increased holiday tra</w:t>
      </w:r>
      <w:r w:rsidR="00E739AF">
        <w:t>ffic</w:t>
      </w:r>
      <w:r w:rsidR="001E5BA9">
        <w:t>, n</w:t>
      </w:r>
      <w:r w:rsidR="006F54D0">
        <w:t>ights stayed in hotels were</w:t>
      </w:r>
      <w:r w:rsidR="00A1310A">
        <w:t xml:space="preserve"> </w:t>
      </w:r>
      <w:r w:rsidR="006F54D0">
        <w:t xml:space="preserve">up </w:t>
      </w:r>
      <w:r w:rsidR="006F54D0" w:rsidRPr="000D50EA">
        <w:t xml:space="preserve">35% </w:t>
      </w:r>
      <w:r w:rsidR="001E5BA9" w:rsidRPr="000D50EA">
        <w:t>(</w:t>
      </w:r>
      <w:r w:rsidR="006F54D0" w:rsidRPr="000D50EA">
        <w:t>or 3.2 million</w:t>
      </w:r>
      <w:r w:rsidR="001E5BA9" w:rsidRPr="000D50EA">
        <w:t>) to</w:t>
      </w:r>
      <w:r w:rsidR="001E5BA9">
        <w:t xml:space="preserve"> 12.2 million</w:t>
      </w:r>
      <w:r w:rsidR="006F54D0">
        <w:t xml:space="preserve"> in regional Australia. </w:t>
      </w:r>
      <w:r w:rsidR="001E5BA9">
        <w:t xml:space="preserve">Hurt by lost business and holiday </w:t>
      </w:r>
      <w:r w:rsidR="00E739AF">
        <w:t>patronage</w:t>
      </w:r>
      <w:r w:rsidR="001E5BA9">
        <w:t xml:space="preserve">, hotel nights were down </w:t>
      </w:r>
      <w:r w:rsidR="000E6483" w:rsidRPr="000D50EA">
        <w:t>31% or 3 million</w:t>
      </w:r>
      <w:r w:rsidR="000E6483">
        <w:t xml:space="preserve"> to 6.7 million </w:t>
      </w:r>
      <w:r w:rsidR="00E739AF">
        <w:t>for</w:t>
      </w:r>
      <w:r w:rsidR="000E6483">
        <w:t xml:space="preserve"> capital cities.</w:t>
      </w:r>
    </w:p>
    <w:p w14:paraId="3B9C9006" w14:textId="79F5027B" w:rsidR="002C66CD" w:rsidRDefault="00D0332C" w:rsidP="00986AE3">
      <w:r>
        <w:t>R</w:t>
      </w:r>
      <w:r w:rsidR="00F01686" w:rsidRPr="009660B9">
        <w:t>ente</w:t>
      </w:r>
      <w:r w:rsidR="006F54D0">
        <w:t xml:space="preserve">d apartments and units </w:t>
      </w:r>
      <w:r w:rsidR="00ED105A">
        <w:t xml:space="preserve">and </w:t>
      </w:r>
      <w:r w:rsidR="00F01686" w:rsidRPr="009660B9">
        <w:t xml:space="preserve">caravan parks and commercial camping grounds </w:t>
      </w:r>
      <w:r>
        <w:t xml:space="preserve">fared particularly well in March quarter 2021. Nights </w:t>
      </w:r>
      <w:r w:rsidR="006F54D0">
        <w:t>were up</w:t>
      </w:r>
      <w:r w:rsidR="00ED105A">
        <w:t xml:space="preserve"> </w:t>
      </w:r>
      <w:r w:rsidRPr="000D50EA">
        <w:t>20% to 10.9 million for</w:t>
      </w:r>
      <w:r>
        <w:t xml:space="preserve"> rented accommodation and</w:t>
      </w:r>
      <w:r w:rsidR="00ED105A">
        <w:t xml:space="preserve"> </w:t>
      </w:r>
      <w:r w:rsidR="006F54D0" w:rsidRPr="006633C1">
        <w:t>16</w:t>
      </w:r>
      <w:r w:rsidR="00F01686" w:rsidRPr="006633C1">
        <w:t>%</w:t>
      </w:r>
      <w:r w:rsidR="00ED105A" w:rsidRPr="006633C1">
        <w:t xml:space="preserve"> </w:t>
      </w:r>
      <w:r w:rsidR="006F54D0" w:rsidRPr="006633C1">
        <w:t>to</w:t>
      </w:r>
      <w:r w:rsidR="00EE6A2B" w:rsidRPr="006633C1">
        <w:t xml:space="preserve"> </w:t>
      </w:r>
      <w:r w:rsidR="006F54D0" w:rsidRPr="006633C1">
        <w:t>10.6</w:t>
      </w:r>
      <w:r w:rsidR="00F01686" w:rsidRPr="006633C1">
        <w:t xml:space="preserve"> million</w:t>
      </w:r>
      <w:r>
        <w:t xml:space="preserve"> for caravan and camping</w:t>
      </w:r>
      <w:r w:rsidR="00F01686">
        <w:t>.</w:t>
      </w:r>
      <w:r w:rsidR="00F01686" w:rsidRPr="009660B9">
        <w:t xml:space="preserve"> </w:t>
      </w:r>
      <w:r>
        <w:t>However, as for hotel accommodation, results</w:t>
      </w:r>
      <w:r w:rsidR="00F01686" w:rsidRPr="009660B9">
        <w:t xml:space="preserve"> </w:t>
      </w:r>
      <w:r w:rsidR="006F54D0">
        <w:t>differed greatly across</w:t>
      </w:r>
      <w:r w:rsidR="00F01686">
        <w:t xml:space="preserve"> capital cities </w:t>
      </w:r>
      <w:r w:rsidR="006F54D0">
        <w:t xml:space="preserve">and </w:t>
      </w:r>
      <w:r w:rsidR="00F01686">
        <w:t xml:space="preserve">regional areas (Figure </w:t>
      </w:r>
      <w:r w:rsidR="00377500">
        <w:t>5</w:t>
      </w:r>
      <w:r w:rsidR="00F01686">
        <w:t>).</w:t>
      </w:r>
    </w:p>
    <w:p w14:paraId="4D1C24F8" w14:textId="0AADC97C" w:rsidR="00986AE3" w:rsidRDefault="00055B9D" w:rsidP="006F54D0">
      <w:pPr>
        <w:spacing w:after="0"/>
        <w:rPr>
          <w:noProof/>
          <w:lang w:eastAsia="en-AU"/>
        </w:rPr>
      </w:pPr>
      <w:r>
        <w:t>F</w:t>
      </w:r>
      <w:r w:rsidR="00986AE3" w:rsidRPr="009660B9">
        <w:rPr>
          <w:b/>
        </w:rPr>
        <w:t xml:space="preserve">IGURE </w:t>
      </w:r>
      <w:r w:rsidR="006F54D0">
        <w:rPr>
          <w:b/>
        </w:rPr>
        <w:t>5</w:t>
      </w:r>
      <w:r w:rsidR="00986AE3" w:rsidRPr="009660B9">
        <w:rPr>
          <w:b/>
        </w:rPr>
        <w:t xml:space="preserve">: </w:t>
      </w:r>
      <w:r w:rsidR="00986AE3">
        <w:rPr>
          <w:b/>
        </w:rPr>
        <w:t xml:space="preserve">PER CENT </w:t>
      </w:r>
      <w:r w:rsidR="00986AE3" w:rsidRPr="009660B9">
        <w:rPr>
          <w:b/>
        </w:rPr>
        <w:t>CHANGE IN NIGHTS</w:t>
      </w:r>
      <w:r w:rsidR="00986AE3">
        <w:rPr>
          <w:b/>
        </w:rPr>
        <w:t xml:space="preserve"> BY ACCOMMODATION TYPE</w:t>
      </w:r>
      <w:r w:rsidR="00986AE3" w:rsidRPr="000275C8">
        <w:rPr>
          <w:b/>
        </w:rPr>
        <w:t xml:space="preserve">, </w:t>
      </w:r>
      <w:r w:rsidR="00986AE3">
        <w:rPr>
          <w:b/>
        </w:rPr>
        <w:t>CAPITAL CITIES AND REGIONAL AREAS</w:t>
      </w:r>
      <w:r w:rsidR="00B6583C">
        <w:rPr>
          <w:b/>
        </w:rPr>
        <w:t>,</w:t>
      </w:r>
      <w:r w:rsidR="00986AE3">
        <w:rPr>
          <w:b/>
        </w:rPr>
        <w:t xml:space="preserve"> </w:t>
      </w:r>
      <w:r w:rsidR="006F54D0">
        <w:rPr>
          <w:b/>
        </w:rPr>
        <w:t>MARCH QUARTER 2021</w:t>
      </w:r>
    </w:p>
    <w:p w14:paraId="7DEF0EC2" w14:textId="791423EE" w:rsidR="006F54D0" w:rsidRDefault="00B47828" w:rsidP="00055B9D">
      <w:r>
        <w:rPr>
          <w:noProof/>
          <w:lang w:eastAsia="en-AU"/>
        </w:rPr>
        <w:drawing>
          <wp:inline distT="0" distB="0" distL="0" distR="0" wp14:anchorId="14B36ABC" wp14:editId="0EC24228">
            <wp:extent cx="6216650" cy="3740150"/>
            <wp:effectExtent l="0" t="0" r="12700" b="12700"/>
            <wp:docPr id="10" name="Chart 10" descr="A column chart showing the change in nights for the March quarter 2021 compared to the same period last year by accommodation type and capital city and regional areas.&#10;Nights spent in hotels and resorts decreased 31% in capital cities but grew 35% in regional areas.&#10;Nights spent in rented apartments and units decreased 17% in capital cities but grew 36% in regional areas.&#10;Nights spent in commercial caravan parks or camping decreased 18% in captial cities but grew 19% in regional areas." title="FIGURE 5: PER CENT CHANGE IN NIGHTS BY ACCOMMODATION TYPE, CAPITAL CITIES AND REGIONAL AREAS, MARCH QUARTER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6D18B4" w14:textId="77777777" w:rsidR="005B686E" w:rsidRDefault="005B686E" w:rsidP="00744E50">
      <w:pPr>
        <w:pStyle w:val="Heading3"/>
      </w:pPr>
    </w:p>
    <w:p w14:paraId="003C1E22" w14:textId="77777777" w:rsidR="005B686E" w:rsidRDefault="005B686E">
      <w:pPr>
        <w:rPr>
          <w:rFonts w:asciiTheme="majorHAnsi" w:eastAsiaTheme="majorEastAsia" w:hAnsiTheme="majorHAnsi" w:cstheme="majorBidi"/>
          <w:bCs/>
          <w:caps/>
          <w:color w:val="008BB6"/>
        </w:rPr>
      </w:pPr>
      <w:r>
        <w:br w:type="page"/>
      </w:r>
    </w:p>
    <w:p w14:paraId="6447B716" w14:textId="66AFC597" w:rsidR="000B42DB" w:rsidRPr="00991968" w:rsidRDefault="000B42DB" w:rsidP="00744E50">
      <w:pPr>
        <w:pStyle w:val="Heading3"/>
      </w:pPr>
      <w:r w:rsidRPr="00991968">
        <w:t xml:space="preserve">STATES AND TERRITORIES </w:t>
      </w:r>
    </w:p>
    <w:p w14:paraId="2E47AF98" w14:textId="638B43F0" w:rsidR="000B42DB" w:rsidRDefault="000B42DB" w:rsidP="000B42DB">
      <w:pPr>
        <w:autoSpaceDE w:val="0"/>
        <w:autoSpaceDN w:val="0"/>
        <w:adjustRightInd w:val="0"/>
        <w:spacing w:before="40" w:after="40" w:line="191" w:lineRule="atLeast"/>
      </w:pPr>
      <w:r w:rsidRPr="00991968">
        <w:t>With COVID-19 effects from March 2020 onwards, all states and territories had a fall in overnight visitors and spend for the</w:t>
      </w:r>
      <w:r>
        <w:t xml:space="preserve"> year ending </w:t>
      </w:r>
      <w:r w:rsidR="0089759B">
        <w:t>March 2021</w:t>
      </w:r>
      <w:r>
        <w:t xml:space="preserve"> (Figure </w:t>
      </w:r>
      <w:r w:rsidR="0093261D">
        <w:t>6</w:t>
      </w:r>
      <w:r w:rsidRPr="00991968">
        <w:t>).</w:t>
      </w:r>
    </w:p>
    <w:p w14:paraId="6787A657" w14:textId="77777777" w:rsidR="005B686E" w:rsidRDefault="00603694" w:rsidP="00603694">
      <w:pPr>
        <w:spacing w:after="0"/>
        <w:rPr>
          <w:b/>
          <w:vertAlign w:val="superscript"/>
        </w:rPr>
      </w:pPr>
      <w:r>
        <w:rPr>
          <w:b/>
        </w:rPr>
        <w:br/>
      </w:r>
      <w:r w:rsidR="003B06D5">
        <w:rPr>
          <w:b/>
        </w:rPr>
        <w:t xml:space="preserve">FIGURE </w:t>
      </w:r>
      <w:r w:rsidR="0093261D">
        <w:rPr>
          <w:b/>
        </w:rPr>
        <w:t>6</w:t>
      </w:r>
      <w:r w:rsidR="003B06D5">
        <w:rPr>
          <w:b/>
        </w:rPr>
        <w:t xml:space="preserve">: OVENIGHT TRIPS </w:t>
      </w:r>
      <w:r w:rsidR="0089759B">
        <w:rPr>
          <w:b/>
        </w:rPr>
        <w:t>AND SPEND BY STATE, YE MARCH 2021</w:t>
      </w:r>
      <w:r w:rsidR="007C0368">
        <w:rPr>
          <w:b/>
          <w:vertAlign w:val="superscript"/>
        </w:rPr>
        <w:t>2</w:t>
      </w:r>
    </w:p>
    <w:p w14:paraId="248CD070" w14:textId="147DC410" w:rsidR="003B06D5" w:rsidRDefault="005B686E" w:rsidP="00603694">
      <w:pPr>
        <w:spacing w:after="0"/>
        <w:rPr>
          <w:b/>
        </w:rPr>
      </w:pPr>
      <w:r>
        <w:rPr>
          <w:noProof/>
          <w:lang w:eastAsia="en-AU"/>
        </w:rPr>
        <w:drawing>
          <wp:inline distT="0" distB="0" distL="0" distR="0" wp14:anchorId="3461C2AF" wp14:editId="5F076C8A">
            <wp:extent cx="6219112" cy="2705100"/>
            <wp:effectExtent l="0" t="0" r="0" b="0"/>
            <wp:docPr id="4" name="Picture 4" descr="An image of Australia that shows the number of visitors and spend in each state or Territory for the year ending March 2021.&#10;New South Wales - 24.9 million visitors and $14.6 billion spend&#10;Victoria -  13.4 million visitors and $6.5 billion spend&#10;Queensland - 17.1 million visitors and $12.1 billion spend&#10;South Australia - 5.5 million visitors and $3.1 billion spend&#10;Western Australia - 8.8 million visitors and $6.1 billion spend&#10;Tasmania - 2.2 million visitors and $1.5 billion spend&#10;Northern Territory - 900,000 visitors and $0.9 billion spend&#10;ACT - 1.6 million visitors and $0.9 billion spend" title="FIGURE 6: OVENIGHT TRIPS AND SPEND BY STATE, YE MARCH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23461" cy="2706992"/>
                    </a:xfrm>
                    <a:prstGeom prst="rect">
                      <a:avLst/>
                    </a:prstGeom>
                  </pic:spPr>
                </pic:pic>
              </a:graphicData>
            </a:graphic>
          </wp:inline>
        </w:drawing>
      </w:r>
    </w:p>
    <w:p w14:paraId="516A0B49" w14:textId="0E397661" w:rsidR="000B42DB" w:rsidRDefault="007C0368" w:rsidP="000B42DB">
      <w:pPr>
        <w:rPr>
          <w:sz w:val="16"/>
          <w:szCs w:val="16"/>
        </w:rPr>
      </w:pPr>
      <w:r>
        <w:rPr>
          <w:sz w:val="16"/>
          <w:szCs w:val="16"/>
          <w:vertAlign w:val="superscript"/>
        </w:rPr>
        <w:t>2</w:t>
      </w:r>
      <w:r w:rsidR="000B42DB" w:rsidRPr="00781BDD">
        <w:rPr>
          <w:sz w:val="16"/>
          <w:szCs w:val="16"/>
        </w:rPr>
        <w:t xml:space="preserve"> The sum of the total number of visitors for each state will be greater than the total number of visitors for Australia due to individuals who visited more than one state. </w:t>
      </w:r>
    </w:p>
    <w:p w14:paraId="67E2E829" w14:textId="013A7876" w:rsidR="00B07163" w:rsidRDefault="00B07163" w:rsidP="006F00FD">
      <w:pPr>
        <w:rPr>
          <w:b/>
        </w:rPr>
      </w:pPr>
    </w:p>
    <w:sectPr w:rsidR="00B07163" w:rsidSect="00414B78">
      <w:type w:val="continuous"/>
      <w:pgSz w:w="11906" w:h="16838" w:code="9"/>
      <w:pgMar w:top="1440" w:right="1440" w:bottom="1440" w:left="1440"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86C63" w14:textId="77777777" w:rsidR="00A864D2" w:rsidRDefault="00A864D2" w:rsidP="00E072F0">
      <w:r>
        <w:separator/>
      </w:r>
    </w:p>
  </w:endnote>
  <w:endnote w:type="continuationSeparator" w:id="0">
    <w:p w14:paraId="46FA1902" w14:textId="77777777" w:rsidR="00A864D2" w:rsidRDefault="00A864D2" w:rsidP="00E072F0">
      <w:r>
        <w:continuationSeparator/>
      </w:r>
    </w:p>
  </w:endnote>
  <w:endnote w:type="continuationNotice" w:id="1">
    <w:p w14:paraId="67716614" w14:textId="77777777" w:rsidR="00A864D2" w:rsidRDefault="00A86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Light">
    <w:altName w:val="Trade Gothic LT Std Light"/>
    <w:panose1 w:val="00000000000000000000"/>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CEB0" w14:textId="77777777" w:rsidR="00C618F4" w:rsidRDefault="00C61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A8911" w14:textId="77777777" w:rsidR="00A864D2" w:rsidRDefault="00A864D2" w:rsidP="00E072F0">
      <w:r>
        <w:separator/>
      </w:r>
    </w:p>
  </w:footnote>
  <w:footnote w:type="continuationSeparator" w:id="0">
    <w:p w14:paraId="176E3FFC" w14:textId="77777777" w:rsidR="00A864D2" w:rsidRDefault="00A864D2" w:rsidP="00E072F0">
      <w:r>
        <w:continuationSeparator/>
      </w:r>
    </w:p>
  </w:footnote>
  <w:footnote w:type="continuationNotice" w:id="1">
    <w:p w14:paraId="45F14069" w14:textId="77777777" w:rsidR="00A864D2" w:rsidRDefault="00A864D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72FCC" w14:textId="0261A6BE" w:rsidR="00C618F4" w:rsidRPr="00414B78" w:rsidRDefault="00C618F4" w:rsidP="00F23989">
    <w:pPr>
      <w:tabs>
        <w:tab w:val="center" w:pos="4513"/>
        <w:tab w:val="right" w:pos="9026"/>
      </w:tabs>
      <w:spacing w:after="0" w:line="240" w:lineRule="auto"/>
      <w:rPr>
        <w:color w:val="ACA6A2" w:themeColor="accent5"/>
        <w:sz w:val="36"/>
        <w:szCs w:val="36"/>
      </w:rPr>
    </w:pPr>
    <w:r w:rsidRPr="00414B78">
      <w:rPr>
        <w:noProof/>
        <w:lang w:eastAsia="en-AU"/>
      </w:rPr>
      <mc:AlternateContent>
        <mc:Choice Requires="wps">
          <w:drawing>
            <wp:inline distT="0" distB="0" distL="0" distR="0" wp14:anchorId="1184DE2C" wp14:editId="54F9BC7F">
              <wp:extent cx="712800" cy="694800"/>
              <wp:effectExtent l="0" t="0" r="0" b="0"/>
              <wp:docPr id="3" name="Rectangle 3" title="Page number"/>
              <wp:cNvGraphicFramePr/>
              <a:graphic xmlns:a="http://schemas.openxmlformats.org/drawingml/2006/main">
                <a:graphicData uri="http://schemas.microsoft.com/office/word/2010/wordprocessingShape">
                  <wps:wsp>
                    <wps:cNvSpPr/>
                    <wps:spPr>
                      <a:xfrm>
                        <a:off x="0" y="0"/>
                        <a:ext cx="712800" cy="694800"/>
                      </a:xfrm>
                      <a:prstGeom prst="rect">
                        <a:avLst/>
                      </a:prstGeom>
                      <a:solidFill>
                        <a:srgbClr val="ACA6A2"/>
                      </a:solidFill>
                      <a:ln w="25400" cap="flat" cmpd="sng" algn="ctr">
                        <a:noFill/>
                        <a:prstDash val="solid"/>
                      </a:ln>
                      <a:effectLst/>
                    </wps:spPr>
                    <wps:txbx>
                      <w:txbxContent>
                        <w:p w14:paraId="4CF10280" w14:textId="0BC12D01" w:rsidR="00C618F4" w:rsidRDefault="00C618F4" w:rsidP="00741347">
                          <w:pPr>
                            <w:jc w:val="center"/>
                          </w:pPr>
                          <w:r w:rsidRPr="00414B78">
                            <w:rPr>
                              <w:color w:val="FFFFFF" w:themeColor="background1"/>
                              <w:sz w:val="36"/>
                              <w:szCs w:val="36"/>
                            </w:rPr>
                            <w:fldChar w:fldCharType="begin"/>
                          </w:r>
                          <w:r w:rsidRPr="00414B78">
                            <w:rPr>
                              <w:color w:val="FFFFFF" w:themeColor="background1"/>
                              <w:sz w:val="36"/>
                              <w:szCs w:val="36"/>
                            </w:rPr>
                            <w:instrText xml:space="preserve"> PAGE   \* MERGEFORMAT </w:instrText>
                          </w:r>
                          <w:r w:rsidRPr="00414B78">
                            <w:rPr>
                              <w:color w:val="FFFFFF" w:themeColor="background1"/>
                              <w:sz w:val="36"/>
                              <w:szCs w:val="36"/>
                            </w:rPr>
                            <w:fldChar w:fldCharType="separate"/>
                          </w:r>
                          <w:r w:rsidR="00160AF2">
                            <w:rPr>
                              <w:noProof/>
                              <w:color w:val="FFFFFF" w:themeColor="background1"/>
                              <w:sz w:val="36"/>
                              <w:szCs w:val="36"/>
                            </w:rPr>
                            <w:t>2</w:t>
                          </w:r>
                          <w:r w:rsidRPr="00414B78">
                            <w:rPr>
                              <w:noProof/>
                              <w:color w:val="FFFFFF" w:themeColor="background1"/>
                              <w:sz w:val="36"/>
                              <w:szCs w:val="3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84DE2C" id="Rectangle 3" o:spid="_x0000_s1026" alt="Title: Page number" style="width:56.15pt;height:5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" fillcolor="#aca6a2" stroked="f" strokeweight="2pt">
              <v:textbox>
                <w:txbxContent>
                  <w:p w14:paraId="4CF10280" w14:textId="0BC12D01" w:rsidR="00C618F4" w:rsidRDefault="00C618F4" w:rsidP="00741347">
                    <w:pPr>
                      <w:jc w:val="center"/>
                    </w:pPr>
                    <w:r w:rsidRPr="00414B78">
                      <w:rPr>
                        <w:color w:val="FFFFFF" w:themeColor="background1"/>
                        <w:sz w:val="36"/>
                        <w:szCs w:val="36"/>
                      </w:rPr>
                      <w:fldChar w:fldCharType="begin"/>
                    </w:r>
                    <w:r w:rsidRPr="00414B78">
                      <w:rPr>
                        <w:color w:val="FFFFFF" w:themeColor="background1"/>
                        <w:sz w:val="36"/>
                        <w:szCs w:val="36"/>
                      </w:rPr>
                      <w:instrText xml:space="preserve"> PAGE   \* MERGEFORMAT </w:instrText>
                    </w:r>
                    <w:r w:rsidRPr="00414B78">
                      <w:rPr>
                        <w:color w:val="FFFFFF" w:themeColor="background1"/>
                        <w:sz w:val="36"/>
                        <w:szCs w:val="36"/>
                      </w:rPr>
                      <w:fldChar w:fldCharType="separate"/>
                    </w:r>
                    <w:r w:rsidR="00160AF2">
                      <w:rPr>
                        <w:noProof/>
                        <w:color w:val="FFFFFF" w:themeColor="background1"/>
                        <w:sz w:val="36"/>
                        <w:szCs w:val="36"/>
                      </w:rPr>
                      <w:t>2</w:t>
                    </w:r>
                    <w:r w:rsidRPr="00414B78">
                      <w:rPr>
                        <w:noProof/>
                        <w:color w:val="FFFFFF" w:themeColor="background1"/>
                        <w:sz w:val="36"/>
                        <w:szCs w:val="36"/>
                      </w:rPr>
                      <w:fldChar w:fldCharType="end"/>
                    </w:r>
                  </w:p>
                </w:txbxContent>
              </v:textbox>
              <w10:anchorlock/>
            </v:rect>
          </w:pict>
        </mc:Fallback>
      </mc:AlternateContent>
    </w:r>
  </w:p>
  <w:p w14:paraId="2F717463" w14:textId="77777777" w:rsidR="00C618F4" w:rsidRDefault="00C618F4" w:rsidP="007C2A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361C2" w14:textId="77468A15" w:rsidR="00C618F4" w:rsidRPr="00C136FE" w:rsidRDefault="00C618F4" w:rsidP="00F23989">
    <w:pPr>
      <w:pStyle w:val="Header"/>
      <w:ind w:left="-567"/>
      <w:rPr>
        <w:color w:val="ACA6A2" w:themeColor="accent5"/>
        <w:sz w:val="36"/>
        <w:szCs w:val="36"/>
      </w:rPr>
    </w:pPr>
    <w:r>
      <w:rPr>
        <w:noProof/>
        <w:lang w:eastAsia="en-AU"/>
      </w:rPr>
      <mc:AlternateContent>
        <mc:Choice Requires="wps">
          <w:drawing>
            <wp:inline distT="0" distB="0" distL="0" distR="0" wp14:anchorId="4913F565" wp14:editId="23248C1D">
              <wp:extent cx="714375" cy="695325"/>
              <wp:effectExtent l="0" t="0" r="9525" b="9525"/>
              <wp:docPr id="2" name="Rectangle 2" title="Page number"/>
              <wp:cNvGraphicFramePr/>
              <a:graphic xmlns:a="http://schemas.openxmlformats.org/drawingml/2006/main">
                <a:graphicData uri="http://schemas.microsoft.com/office/word/2010/wordprocessingShape">
                  <wps:wsp>
                    <wps:cNvSpPr/>
                    <wps:spPr>
                      <a:xfrm>
                        <a:off x="0" y="0"/>
                        <a:ext cx="714375" cy="695325"/>
                      </a:xfrm>
                      <a:prstGeom prst="rect">
                        <a:avLst/>
                      </a:prstGeom>
                      <a:solidFill>
                        <a:srgbClr val="ACA6A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4844E" w14:textId="4C1FFE0A" w:rsidR="00C618F4" w:rsidRDefault="00C618F4" w:rsidP="00741347">
                          <w:pPr>
                            <w:jc w:val="center"/>
                          </w:pPr>
                          <w:r w:rsidRPr="00CF10C4">
                            <w:rPr>
                              <w:color w:val="FFFFFF" w:themeColor="background1"/>
                              <w:sz w:val="36"/>
                              <w:szCs w:val="36"/>
                            </w:rPr>
                            <w:fldChar w:fldCharType="begin"/>
                          </w:r>
                          <w:r w:rsidRPr="00CF10C4">
                            <w:rPr>
                              <w:color w:val="FFFFFF" w:themeColor="background1"/>
                              <w:sz w:val="36"/>
                              <w:szCs w:val="36"/>
                            </w:rPr>
                            <w:instrText xml:space="preserve"> PAGE   \* MERGEFORMAT </w:instrText>
                          </w:r>
                          <w:r w:rsidRPr="00CF10C4">
                            <w:rPr>
                              <w:color w:val="FFFFFF" w:themeColor="background1"/>
                              <w:sz w:val="36"/>
                              <w:szCs w:val="36"/>
                            </w:rPr>
                            <w:fldChar w:fldCharType="separate"/>
                          </w:r>
                          <w:r w:rsidR="00160AF2">
                            <w:rPr>
                              <w:noProof/>
                              <w:color w:val="FFFFFF" w:themeColor="background1"/>
                              <w:sz w:val="36"/>
                              <w:szCs w:val="36"/>
                            </w:rPr>
                            <w:t>3</w:t>
                          </w:r>
                          <w:r w:rsidRPr="00CF10C4">
                            <w:rPr>
                              <w:noProof/>
                              <w:color w:val="FFFFFF" w:themeColor="background1"/>
                              <w:sz w:val="36"/>
                              <w:szCs w:val="3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13F565" id="Rectangle 2" o:spid="_x0000_s1027" alt="Title: Page number" style="width:56.25pt;height:5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" fillcolor="#aca6a2" stroked="f" strokeweight="2pt">
              <v:textbox>
                <w:txbxContent>
                  <w:p w14:paraId="7914844E" w14:textId="4C1FFE0A" w:rsidR="00C618F4" w:rsidRDefault="00C618F4" w:rsidP="00741347">
                    <w:pPr>
                      <w:jc w:val="center"/>
                    </w:pPr>
                    <w:r w:rsidRPr="00CF10C4">
                      <w:rPr>
                        <w:color w:val="FFFFFF" w:themeColor="background1"/>
                        <w:sz w:val="36"/>
                        <w:szCs w:val="36"/>
                      </w:rPr>
                      <w:fldChar w:fldCharType="begin"/>
                    </w:r>
                    <w:r w:rsidRPr="00CF10C4">
                      <w:rPr>
                        <w:color w:val="FFFFFF" w:themeColor="background1"/>
                        <w:sz w:val="36"/>
                        <w:szCs w:val="36"/>
                      </w:rPr>
                      <w:instrText xml:space="preserve"> PAGE   \* MERGEFORMAT </w:instrText>
                    </w:r>
                    <w:r w:rsidRPr="00CF10C4">
                      <w:rPr>
                        <w:color w:val="FFFFFF" w:themeColor="background1"/>
                        <w:sz w:val="36"/>
                        <w:szCs w:val="36"/>
                      </w:rPr>
                      <w:fldChar w:fldCharType="separate"/>
                    </w:r>
                    <w:r w:rsidR="00160AF2">
                      <w:rPr>
                        <w:noProof/>
                        <w:color w:val="FFFFFF" w:themeColor="background1"/>
                        <w:sz w:val="36"/>
                        <w:szCs w:val="36"/>
                      </w:rPr>
                      <w:t>3</w:t>
                    </w:r>
                    <w:r w:rsidRPr="00CF10C4">
                      <w:rPr>
                        <w:noProof/>
                        <w:color w:val="FFFFFF" w:themeColor="background1"/>
                        <w:sz w:val="36"/>
                        <w:szCs w:val="36"/>
                      </w:rPr>
                      <w:fldChar w:fldCharType="end"/>
                    </w:r>
                  </w:p>
                </w:txbxContent>
              </v:textbox>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01629" w14:textId="77777777" w:rsidR="00C618F4" w:rsidRDefault="00C618F4">
    <w:pPr>
      <w:pStyle w:val="Header"/>
    </w:pPr>
    <w:r>
      <w:rPr>
        <w:noProof/>
        <w:lang w:eastAsia="en-AU"/>
      </w:rPr>
      <w:drawing>
        <wp:anchor distT="0" distB="0" distL="114300" distR="114300" simplePos="0" relativeHeight="251658240" behindDoc="0" locked="0" layoutInCell="1" allowOverlap="1" wp14:anchorId="191A0E65" wp14:editId="0DCF0D65">
          <wp:simplePos x="0" y="0"/>
          <wp:positionH relativeFrom="column">
            <wp:posOffset>-914400</wp:posOffset>
          </wp:positionH>
          <wp:positionV relativeFrom="paragraph">
            <wp:posOffset>0</wp:posOffset>
          </wp:positionV>
          <wp:extent cx="7566500" cy="1454297"/>
          <wp:effectExtent l="0" t="0" r="0" b="0"/>
          <wp:wrapNone/>
          <wp:docPr id="6" name="Picture 6" descr="Banner with the Australian Government Austrade and Tourism Research Australia logos." title="Austrade and Tourism Research Australia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500" cy="14542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A7EE8"/>
    <w:multiLevelType w:val="hybridMultilevel"/>
    <w:tmpl w:val="69F2E714"/>
    <w:lvl w:ilvl="0" w:tplc="899EEEA4">
      <w:start w:val="1"/>
      <w:numFmt w:val="bullet"/>
      <w:pStyle w:val="ListParagraph"/>
      <w:lvlText w:val=""/>
      <w:lvlJc w:val="left"/>
      <w:pPr>
        <w:ind w:left="720" w:hanging="360"/>
      </w:pPr>
      <w:rPr>
        <w:rFonts w:ascii="Wingdings" w:hAnsi="Wingdings" w:hint="default"/>
        <w:color w:val="D4D71E" w:themeColor="accent3"/>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F43A0E"/>
    <w:multiLevelType w:val="hybridMultilevel"/>
    <w:tmpl w:val="CC4AC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FA27E4"/>
    <w:multiLevelType w:val="hybridMultilevel"/>
    <w:tmpl w:val="2CA41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357B3D"/>
    <w:multiLevelType w:val="hybridMultilevel"/>
    <w:tmpl w:val="5DAE58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065C7B"/>
    <w:multiLevelType w:val="hybridMultilevel"/>
    <w:tmpl w:val="4DDC4E50"/>
    <w:lvl w:ilvl="0" w:tplc="5AE227F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484A19"/>
    <w:multiLevelType w:val="hybridMultilevel"/>
    <w:tmpl w:val="BB0C754C"/>
    <w:lvl w:ilvl="0" w:tplc="78B8CA2C">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A10AFA"/>
    <w:multiLevelType w:val="hybridMultilevel"/>
    <w:tmpl w:val="B30438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evenAndOddHeaders/>
  <w:characterSpacingControl w:val="doNotCompress"/>
  <w:savePreviewPicture/>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26"/>
    <w:rsid w:val="00000D86"/>
    <w:rsid w:val="00013999"/>
    <w:rsid w:val="00020480"/>
    <w:rsid w:val="00021C97"/>
    <w:rsid w:val="000323FC"/>
    <w:rsid w:val="00033670"/>
    <w:rsid w:val="000370FE"/>
    <w:rsid w:val="00041B38"/>
    <w:rsid w:val="00042CAB"/>
    <w:rsid w:val="00045560"/>
    <w:rsid w:val="00045A17"/>
    <w:rsid w:val="000516DD"/>
    <w:rsid w:val="00055B9D"/>
    <w:rsid w:val="0006094D"/>
    <w:rsid w:val="00063425"/>
    <w:rsid w:val="00065CEA"/>
    <w:rsid w:val="00070827"/>
    <w:rsid w:val="00070896"/>
    <w:rsid w:val="0007447B"/>
    <w:rsid w:val="000751A6"/>
    <w:rsid w:val="0007733F"/>
    <w:rsid w:val="000875F3"/>
    <w:rsid w:val="000A6473"/>
    <w:rsid w:val="000B0534"/>
    <w:rsid w:val="000B42DB"/>
    <w:rsid w:val="000C4434"/>
    <w:rsid w:val="000C4532"/>
    <w:rsid w:val="000D3225"/>
    <w:rsid w:val="000D50EA"/>
    <w:rsid w:val="000D616A"/>
    <w:rsid w:val="000D6F2F"/>
    <w:rsid w:val="000E1BAE"/>
    <w:rsid w:val="000E4029"/>
    <w:rsid w:val="000E4DC4"/>
    <w:rsid w:val="000E6483"/>
    <w:rsid w:val="000E6F61"/>
    <w:rsid w:val="000F04B0"/>
    <w:rsid w:val="000F7ECA"/>
    <w:rsid w:val="00100BD8"/>
    <w:rsid w:val="00102DFF"/>
    <w:rsid w:val="00110E56"/>
    <w:rsid w:val="00111C40"/>
    <w:rsid w:val="001141AB"/>
    <w:rsid w:val="00114B83"/>
    <w:rsid w:val="00115B02"/>
    <w:rsid w:val="00124FCE"/>
    <w:rsid w:val="001269BE"/>
    <w:rsid w:val="00127FED"/>
    <w:rsid w:val="0013103E"/>
    <w:rsid w:val="00131AE7"/>
    <w:rsid w:val="00131FF6"/>
    <w:rsid w:val="00133A69"/>
    <w:rsid w:val="00135A9A"/>
    <w:rsid w:val="00142F6D"/>
    <w:rsid w:val="001458AA"/>
    <w:rsid w:val="00155470"/>
    <w:rsid w:val="00157BD9"/>
    <w:rsid w:val="00160AF2"/>
    <w:rsid w:val="00162CE5"/>
    <w:rsid w:val="00166466"/>
    <w:rsid w:val="0017243A"/>
    <w:rsid w:val="001933DE"/>
    <w:rsid w:val="00193F07"/>
    <w:rsid w:val="00196FD5"/>
    <w:rsid w:val="00197843"/>
    <w:rsid w:val="001A4443"/>
    <w:rsid w:val="001A52F6"/>
    <w:rsid w:val="001B099E"/>
    <w:rsid w:val="001B23A7"/>
    <w:rsid w:val="001B7A72"/>
    <w:rsid w:val="001C0B22"/>
    <w:rsid w:val="001C7872"/>
    <w:rsid w:val="001D2820"/>
    <w:rsid w:val="001D648F"/>
    <w:rsid w:val="001E22EE"/>
    <w:rsid w:val="001E2C20"/>
    <w:rsid w:val="001E46F4"/>
    <w:rsid w:val="001E5BA9"/>
    <w:rsid w:val="001F12D8"/>
    <w:rsid w:val="001F3CC3"/>
    <w:rsid w:val="00201562"/>
    <w:rsid w:val="00201591"/>
    <w:rsid w:val="0020204C"/>
    <w:rsid w:val="00204C35"/>
    <w:rsid w:val="00205A17"/>
    <w:rsid w:val="0020702C"/>
    <w:rsid w:val="00207E9D"/>
    <w:rsid w:val="00210EC0"/>
    <w:rsid w:val="00222CD3"/>
    <w:rsid w:val="00223C0A"/>
    <w:rsid w:val="00224FD9"/>
    <w:rsid w:val="00233C95"/>
    <w:rsid w:val="002376EE"/>
    <w:rsid w:val="00242581"/>
    <w:rsid w:val="00243A7B"/>
    <w:rsid w:val="00250EE0"/>
    <w:rsid w:val="002559D4"/>
    <w:rsid w:val="002641F3"/>
    <w:rsid w:val="00265E3B"/>
    <w:rsid w:val="002706A3"/>
    <w:rsid w:val="002706CB"/>
    <w:rsid w:val="002715CF"/>
    <w:rsid w:val="002727BD"/>
    <w:rsid w:val="00274E17"/>
    <w:rsid w:val="00290684"/>
    <w:rsid w:val="002926F2"/>
    <w:rsid w:val="002A104D"/>
    <w:rsid w:val="002A2C96"/>
    <w:rsid w:val="002B2127"/>
    <w:rsid w:val="002C294A"/>
    <w:rsid w:val="002C66CD"/>
    <w:rsid w:val="002D1C73"/>
    <w:rsid w:val="002D7772"/>
    <w:rsid w:val="002D7BFA"/>
    <w:rsid w:val="002F1777"/>
    <w:rsid w:val="002F6D4D"/>
    <w:rsid w:val="00301B49"/>
    <w:rsid w:val="00302873"/>
    <w:rsid w:val="00307F82"/>
    <w:rsid w:val="00310498"/>
    <w:rsid w:val="00310B93"/>
    <w:rsid w:val="00331B0E"/>
    <w:rsid w:val="003339C7"/>
    <w:rsid w:val="0034108E"/>
    <w:rsid w:val="003414FC"/>
    <w:rsid w:val="0034211E"/>
    <w:rsid w:val="0034438D"/>
    <w:rsid w:val="0034531C"/>
    <w:rsid w:val="00351FD3"/>
    <w:rsid w:val="00355255"/>
    <w:rsid w:val="00365CD8"/>
    <w:rsid w:val="0036654A"/>
    <w:rsid w:val="00371E6C"/>
    <w:rsid w:val="0037628E"/>
    <w:rsid w:val="00377500"/>
    <w:rsid w:val="003852F2"/>
    <w:rsid w:val="00386193"/>
    <w:rsid w:val="00386271"/>
    <w:rsid w:val="00387560"/>
    <w:rsid w:val="0039321C"/>
    <w:rsid w:val="003A386B"/>
    <w:rsid w:val="003B06D5"/>
    <w:rsid w:val="003B0773"/>
    <w:rsid w:val="003B4F13"/>
    <w:rsid w:val="003B654F"/>
    <w:rsid w:val="003B727C"/>
    <w:rsid w:val="003F3C1F"/>
    <w:rsid w:val="003F59B0"/>
    <w:rsid w:val="003F7E5F"/>
    <w:rsid w:val="00400145"/>
    <w:rsid w:val="004002D9"/>
    <w:rsid w:val="00401BAA"/>
    <w:rsid w:val="00403C55"/>
    <w:rsid w:val="00406518"/>
    <w:rsid w:val="004107EC"/>
    <w:rsid w:val="004128A9"/>
    <w:rsid w:val="00414B78"/>
    <w:rsid w:val="004173C6"/>
    <w:rsid w:val="004265F4"/>
    <w:rsid w:val="00430B7B"/>
    <w:rsid w:val="004314A6"/>
    <w:rsid w:val="004342A8"/>
    <w:rsid w:val="0043491F"/>
    <w:rsid w:val="00434E98"/>
    <w:rsid w:val="00443ED9"/>
    <w:rsid w:val="0044400D"/>
    <w:rsid w:val="00444F83"/>
    <w:rsid w:val="00446B61"/>
    <w:rsid w:val="00454074"/>
    <w:rsid w:val="004601F9"/>
    <w:rsid w:val="0046073A"/>
    <w:rsid w:val="004659A7"/>
    <w:rsid w:val="004663BF"/>
    <w:rsid w:val="00471A47"/>
    <w:rsid w:val="00473803"/>
    <w:rsid w:val="00477258"/>
    <w:rsid w:val="00477459"/>
    <w:rsid w:val="00480610"/>
    <w:rsid w:val="00481180"/>
    <w:rsid w:val="00481239"/>
    <w:rsid w:val="004833B4"/>
    <w:rsid w:val="004851E6"/>
    <w:rsid w:val="0049231C"/>
    <w:rsid w:val="004A133B"/>
    <w:rsid w:val="004A26A8"/>
    <w:rsid w:val="004A34D5"/>
    <w:rsid w:val="004A369C"/>
    <w:rsid w:val="004A6F39"/>
    <w:rsid w:val="004B18EE"/>
    <w:rsid w:val="004B6C4A"/>
    <w:rsid w:val="004C2D3F"/>
    <w:rsid w:val="004C5D01"/>
    <w:rsid w:val="004C718E"/>
    <w:rsid w:val="004D1D07"/>
    <w:rsid w:val="004D4600"/>
    <w:rsid w:val="004D5E44"/>
    <w:rsid w:val="004D7149"/>
    <w:rsid w:val="004D7B45"/>
    <w:rsid w:val="004E0986"/>
    <w:rsid w:val="004E0D47"/>
    <w:rsid w:val="004E2606"/>
    <w:rsid w:val="004E5D6A"/>
    <w:rsid w:val="004E61DC"/>
    <w:rsid w:val="004E6FE1"/>
    <w:rsid w:val="004E7FF3"/>
    <w:rsid w:val="004F42D9"/>
    <w:rsid w:val="005026BA"/>
    <w:rsid w:val="00513157"/>
    <w:rsid w:val="00515A53"/>
    <w:rsid w:val="00530C6E"/>
    <w:rsid w:val="0053129C"/>
    <w:rsid w:val="005357C6"/>
    <w:rsid w:val="0053777D"/>
    <w:rsid w:val="00544106"/>
    <w:rsid w:val="00546874"/>
    <w:rsid w:val="005561EB"/>
    <w:rsid w:val="0056125D"/>
    <w:rsid w:val="0057041B"/>
    <w:rsid w:val="00574C7C"/>
    <w:rsid w:val="005758BD"/>
    <w:rsid w:val="00577C7F"/>
    <w:rsid w:val="00584196"/>
    <w:rsid w:val="00586ECE"/>
    <w:rsid w:val="00592A7A"/>
    <w:rsid w:val="00593CA6"/>
    <w:rsid w:val="005943DC"/>
    <w:rsid w:val="005978D8"/>
    <w:rsid w:val="005B2B95"/>
    <w:rsid w:val="005B2CF5"/>
    <w:rsid w:val="005B3585"/>
    <w:rsid w:val="005B686E"/>
    <w:rsid w:val="005C0907"/>
    <w:rsid w:val="005C36B0"/>
    <w:rsid w:val="005D04C0"/>
    <w:rsid w:val="005D0629"/>
    <w:rsid w:val="005D2C8F"/>
    <w:rsid w:val="005D2DB4"/>
    <w:rsid w:val="005E1C35"/>
    <w:rsid w:val="005E58E4"/>
    <w:rsid w:val="005F0A92"/>
    <w:rsid w:val="005F51CD"/>
    <w:rsid w:val="005F5AE5"/>
    <w:rsid w:val="005F7665"/>
    <w:rsid w:val="00601689"/>
    <w:rsid w:val="00603694"/>
    <w:rsid w:val="0060587C"/>
    <w:rsid w:val="006134D7"/>
    <w:rsid w:val="00613D8B"/>
    <w:rsid w:val="00614311"/>
    <w:rsid w:val="00614502"/>
    <w:rsid w:val="00615278"/>
    <w:rsid w:val="006165D2"/>
    <w:rsid w:val="00617377"/>
    <w:rsid w:val="00620C80"/>
    <w:rsid w:val="0062331E"/>
    <w:rsid w:val="0062662A"/>
    <w:rsid w:val="00630076"/>
    <w:rsid w:val="0063661C"/>
    <w:rsid w:val="0063672B"/>
    <w:rsid w:val="006469AB"/>
    <w:rsid w:val="00647418"/>
    <w:rsid w:val="006633C1"/>
    <w:rsid w:val="00663923"/>
    <w:rsid w:val="00663CA9"/>
    <w:rsid w:val="00665B4F"/>
    <w:rsid w:val="00671607"/>
    <w:rsid w:val="006839D2"/>
    <w:rsid w:val="00691548"/>
    <w:rsid w:val="006928A2"/>
    <w:rsid w:val="0069356F"/>
    <w:rsid w:val="00695431"/>
    <w:rsid w:val="00695758"/>
    <w:rsid w:val="00696B8E"/>
    <w:rsid w:val="006A05CB"/>
    <w:rsid w:val="006B000B"/>
    <w:rsid w:val="006B7A98"/>
    <w:rsid w:val="006C15DD"/>
    <w:rsid w:val="006D11C6"/>
    <w:rsid w:val="006E6B07"/>
    <w:rsid w:val="006E7233"/>
    <w:rsid w:val="006E7C7D"/>
    <w:rsid w:val="006F00FD"/>
    <w:rsid w:val="006F0DFC"/>
    <w:rsid w:val="006F3F5E"/>
    <w:rsid w:val="006F54D0"/>
    <w:rsid w:val="006F7CC0"/>
    <w:rsid w:val="00707AA0"/>
    <w:rsid w:val="0071174B"/>
    <w:rsid w:val="00712645"/>
    <w:rsid w:val="00720162"/>
    <w:rsid w:val="007208BF"/>
    <w:rsid w:val="00732A9C"/>
    <w:rsid w:val="00734555"/>
    <w:rsid w:val="00737782"/>
    <w:rsid w:val="00741347"/>
    <w:rsid w:val="00744455"/>
    <w:rsid w:val="00744E50"/>
    <w:rsid w:val="00747505"/>
    <w:rsid w:val="00750DF6"/>
    <w:rsid w:val="00755C72"/>
    <w:rsid w:val="007659F6"/>
    <w:rsid w:val="007660C6"/>
    <w:rsid w:val="00767827"/>
    <w:rsid w:val="007701F1"/>
    <w:rsid w:val="007746F0"/>
    <w:rsid w:val="00781BDD"/>
    <w:rsid w:val="007846D7"/>
    <w:rsid w:val="00786041"/>
    <w:rsid w:val="00786418"/>
    <w:rsid w:val="007901FB"/>
    <w:rsid w:val="00790561"/>
    <w:rsid w:val="00793123"/>
    <w:rsid w:val="00796D22"/>
    <w:rsid w:val="00797F14"/>
    <w:rsid w:val="007A70CE"/>
    <w:rsid w:val="007C000C"/>
    <w:rsid w:val="007C0368"/>
    <w:rsid w:val="007C0B73"/>
    <w:rsid w:val="007C2A11"/>
    <w:rsid w:val="007C38FA"/>
    <w:rsid w:val="007C6600"/>
    <w:rsid w:val="007D50DC"/>
    <w:rsid w:val="007D6F24"/>
    <w:rsid w:val="007E647B"/>
    <w:rsid w:val="008008A5"/>
    <w:rsid w:val="008033D4"/>
    <w:rsid w:val="008048CC"/>
    <w:rsid w:val="008103A9"/>
    <w:rsid w:val="00812FAB"/>
    <w:rsid w:val="0082161B"/>
    <w:rsid w:val="00833F2D"/>
    <w:rsid w:val="00833F4C"/>
    <w:rsid w:val="00837B34"/>
    <w:rsid w:val="00842155"/>
    <w:rsid w:val="00843175"/>
    <w:rsid w:val="0085319D"/>
    <w:rsid w:val="008533AB"/>
    <w:rsid w:val="008632BF"/>
    <w:rsid w:val="0086500E"/>
    <w:rsid w:val="00882C6C"/>
    <w:rsid w:val="00886239"/>
    <w:rsid w:val="00891BF6"/>
    <w:rsid w:val="00891E92"/>
    <w:rsid w:val="00897307"/>
    <w:rsid w:val="0089759B"/>
    <w:rsid w:val="008A3B74"/>
    <w:rsid w:val="008A4740"/>
    <w:rsid w:val="008B2517"/>
    <w:rsid w:val="008B52A3"/>
    <w:rsid w:val="008B5D41"/>
    <w:rsid w:val="008B7B74"/>
    <w:rsid w:val="008C56F4"/>
    <w:rsid w:val="008C7C0B"/>
    <w:rsid w:val="008E4510"/>
    <w:rsid w:val="008E5555"/>
    <w:rsid w:val="008E65DE"/>
    <w:rsid w:val="008F0E07"/>
    <w:rsid w:val="008F0E82"/>
    <w:rsid w:val="008F3EB1"/>
    <w:rsid w:val="008F77DB"/>
    <w:rsid w:val="00900D76"/>
    <w:rsid w:val="00904075"/>
    <w:rsid w:val="0090517C"/>
    <w:rsid w:val="0090562B"/>
    <w:rsid w:val="00912E5C"/>
    <w:rsid w:val="009141BB"/>
    <w:rsid w:val="00924C47"/>
    <w:rsid w:val="009251A8"/>
    <w:rsid w:val="0092532D"/>
    <w:rsid w:val="0093261D"/>
    <w:rsid w:val="00934C55"/>
    <w:rsid w:val="0093732B"/>
    <w:rsid w:val="00941887"/>
    <w:rsid w:val="00945413"/>
    <w:rsid w:val="00947625"/>
    <w:rsid w:val="009660B9"/>
    <w:rsid w:val="00981CB0"/>
    <w:rsid w:val="00986AE3"/>
    <w:rsid w:val="00991968"/>
    <w:rsid w:val="009953EA"/>
    <w:rsid w:val="009956A3"/>
    <w:rsid w:val="009A67C3"/>
    <w:rsid w:val="009A7A6F"/>
    <w:rsid w:val="009B3C9B"/>
    <w:rsid w:val="009C2967"/>
    <w:rsid w:val="009C3F90"/>
    <w:rsid w:val="009C4B8D"/>
    <w:rsid w:val="009D1774"/>
    <w:rsid w:val="009D338B"/>
    <w:rsid w:val="009D7088"/>
    <w:rsid w:val="009E5632"/>
    <w:rsid w:val="009E5880"/>
    <w:rsid w:val="009F3DE1"/>
    <w:rsid w:val="009F721A"/>
    <w:rsid w:val="00A00689"/>
    <w:rsid w:val="00A03D8E"/>
    <w:rsid w:val="00A048EE"/>
    <w:rsid w:val="00A05448"/>
    <w:rsid w:val="00A06E46"/>
    <w:rsid w:val="00A0779F"/>
    <w:rsid w:val="00A1008D"/>
    <w:rsid w:val="00A1310A"/>
    <w:rsid w:val="00A148F4"/>
    <w:rsid w:val="00A20CF7"/>
    <w:rsid w:val="00A231D1"/>
    <w:rsid w:val="00A308FE"/>
    <w:rsid w:val="00A31308"/>
    <w:rsid w:val="00A37106"/>
    <w:rsid w:val="00A375F5"/>
    <w:rsid w:val="00A50217"/>
    <w:rsid w:val="00A5769C"/>
    <w:rsid w:val="00A57B8F"/>
    <w:rsid w:val="00A57FB8"/>
    <w:rsid w:val="00A6163B"/>
    <w:rsid w:val="00A62B3C"/>
    <w:rsid w:val="00A62D0E"/>
    <w:rsid w:val="00A64AA5"/>
    <w:rsid w:val="00A70E1F"/>
    <w:rsid w:val="00A72EA8"/>
    <w:rsid w:val="00A75946"/>
    <w:rsid w:val="00A7595D"/>
    <w:rsid w:val="00A83BE8"/>
    <w:rsid w:val="00A85C16"/>
    <w:rsid w:val="00A864D2"/>
    <w:rsid w:val="00A868FF"/>
    <w:rsid w:val="00A870C8"/>
    <w:rsid w:val="00A87EA7"/>
    <w:rsid w:val="00AA14EF"/>
    <w:rsid w:val="00AA17DA"/>
    <w:rsid w:val="00AA1B34"/>
    <w:rsid w:val="00AA393D"/>
    <w:rsid w:val="00AA50D6"/>
    <w:rsid w:val="00AA7C0A"/>
    <w:rsid w:val="00AB0BA2"/>
    <w:rsid w:val="00AB27D9"/>
    <w:rsid w:val="00AB2870"/>
    <w:rsid w:val="00AC0439"/>
    <w:rsid w:val="00AD228F"/>
    <w:rsid w:val="00AE6AE0"/>
    <w:rsid w:val="00AF2362"/>
    <w:rsid w:val="00B00909"/>
    <w:rsid w:val="00B03F2C"/>
    <w:rsid w:val="00B0418C"/>
    <w:rsid w:val="00B0422F"/>
    <w:rsid w:val="00B06535"/>
    <w:rsid w:val="00B07163"/>
    <w:rsid w:val="00B10424"/>
    <w:rsid w:val="00B1065F"/>
    <w:rsid w:val="00B11E40"/>
    <w:rsid w:val="00B14425"/>
    <w:rsid w:val="00B17926"/>
    <w:rsid w:val="00B21EBF"/>
    <w:rsid w:val="00B23EDF"/>
    <w:rsid w:val="00B27014"/>
    <w:rsid w:val="00B363D2"/>
    <w:rsid w:val="00B373AC"/>
    <w:rsid w:val="00B378D3"/>
    <w:rsid w:val="00B41406"/>
    <w:rsid w:val="00B4529D"/>
    <w:rsid w:val="00B47828"/>
    <w:rsid w:val="00B4794D"/>
    <w:rsid w:val="00B50E50"/>
    <w:rsid w:val="00B545BF"/>
    <w:rsid w:val="00B54D57"/>
    <w:rsid w:val="00B54FE0"/>
    <w:rsid w:val="00B6316F"/>
    <w:rsid w:val="00B656D2"/>
    <w:rsid w:val="00B6583C"/>
    <w:rsid w:val="00B7620B"/>
    <w:rsid w:val="00B76830"/>
    <w:rsid w:val="00B76E4B"/>
    <w:rsid w:val="00B802DB"/>
    <w:rsid w:val="00B849C8"/>
    <w:rsid w:val="00B87DAC"/>
    <w:rsid w:val="00B95F94"/>
    <w:rsid w:val="00BA1AF3"/>
    <w:rsid w:val="00BA2309"/>
    <w:rsid w:val="00BA2F14"/>
    <w:rsid w:val="00BA300B"/>
    <w:rsid w:val="00BA3156"/>
    <w:rsid w:val="00BA4066"/>
    <w:rsid w:val="00BA7124"/>
    <w:rsid w:val="00BA7D6A"/>
    <w:rsid w:val="00BB1294"/>
    <w:rsid w:val="00BB2F87"/>
    <w:rsid w:val="00BB6408"/>
    <w:rsid w:val="00BC5592"/>
    <w:rsid w:val="00BC582C"/>
    <w:rsid w:val="00BC6990"/>
    <w:rsid w:val="00BD3140"/>
    <w:rsid w:val="00BD3B29"/>
    <w:rsid w:val="00BD3C43"/>
    <w:rsid w:val="00BD6B5F"/>
    <w:rsid w:val="00BE593F"/>
    <w:rsid w:val="00BE77DB"/>
    <w:rsid w:val="00BF06F0"/>
    <w:rsid w:val="00BF24EF"/>
    <w:rsid w:val="00BF3E76"/>
    <w:rsid w:val="00C008A9"/>
    <w:rsid w:val="00C00B0D"/>
    <w:rsid w:val="00C01279"/>
    <w:rsid w:val="00C020AF"/>
    <w:rsid w:val="00C05E38"/>
    <w:rsid w:val="00C11019"/>
    <w:rsid w:val="00C13542"/>
    <w:rsid w:val="00C136FE"/>
    <w:rsid w:val="00C42110"/>
    <w:rsid w:val="00C47077"/>
    <w:rsid w:val="00C47B66"/>
    <w:rsid w:val="00C52F0B"/>
    <w:rsid w:val="00C57877"/>
    <w:rsid w:val="00C618F4"/>
    <w:rsid w:val="00C61F64"/>
    <w:rsid w:val="00C65650"/>
    <w:rsid w:val="00C743C5"/>
    <w:rsid w:val="00C83792"/>
    <w:rsid w:val="00C83A53"/>
    <w:rsid w:val="00C869F3"/>
    <w:rsid w:val="00C90DDA"/>
    <w:rsid w:val="00C9137F"/>
    <w:rsid w:val="00C9305E"/>
    <w:rsid w:val="00C9550B"/>
    <w:rsid w:val="00C96131"/>
    <w:rsid w:val="00CA3DF6"/>
    <w:rsid w:val="00CA5543"/>
    <w:rsid w:val="00CA7064"/>
    <w:rsid w:val="00CB1BD1"/>
    <w:rsid w:val="00CB3A27"/>
    <w:rsid w:val="00CC120A"/>
    <w:rsid w:val="00CC4245"/>
    <w:rsid w:val="00CC49B4"/>
    <w:rsid w:val="00CD0D78"/>
    <w:rsid w:val="00CD7B58"/>
    <w:rsid w:val="00CE0C70"/>
    <w:rsid w:val="00CF10C4"/>
    <w:rsid w:val="00CF3A19"/>
    <w:rsid w:val="00CF4C5C"/>
    <w:rsid w:val="00CF6285"/>
    <w:rsid w:val="00D0332C"/>
    <w:rsid w:val="00D03616"/>
    <w:rsid w:val="00D11097"/>
    <w:rsid w:val="00D151BD"/>
    <w:rsid w:val="00D175CB"/>
    <w:rsid w:val="00D222BF"/>
    <w:rsid w:val="00D258E7"/>
    <w:rsid w:val="00D25C36"/>
    <w:rsid w:val="00D315E7"/>
    <w:rsid w:val="00D33271"/>
    <w:rsid w:val="00D3421A"/>
    <w:rsid w:val="00D375B3"/>
    <w:rsid w:val="00D37D70"/>
    <w:rsid w:val="00D40108"/>
    <w:rsid w:val="00D46DC4"/>
    <w:rsid w:val="00D57C07"/>
    <w:rsid w:val="00D60C27"/>
    <w:rsid w:val="00D64EA6"/>
    <w:rsid w:val="00D84DFF"/>
    <w:rsid w:val="00D84F63"/>
    <w:rsid w:val="00D86412"/>
    <w:rsid w:val="00D90A77"/>
    <w:rsid w:val="00D94AC0"/>
    <w:rsid w:val="00D96EC3"/>
    <w:rsid w:val="00DA123D"/>
    <w:rsid w:val="00DA22E1"/>
    <w:rsid w:val="00DA343A"/>
    <w:rsid w:val="00DB47D5"/>
    <w:rsid w:val="00DC325F"/>
    <w:rsid w:val="00DC33A4"/>
    <w:rsid w:val="00DC5DB4"/>
    <w:rsid w:val="00DC6562"/>
    <w:rsid w:val="00DD3835"/>
    <w:rsid w:val="00DD6D85"/>
    <w:rsid w:val="00DE0413"/>
    <w:rsid w:val="00DE07EB"/>
    <w:rsid w:val="00DE09BB"/>
    <w:rsid w:val="00DE64FC"/>
    <w:rsid w:val="00DF5DCC"/>
    <w:rsid w:val="00DF69FF"/>
    <w:rsid w:val="00E0107A"/>
    <w:rsid w:val="00E072F0"/>
    <w:rsid w:val="00E07D37"/>
    <w:rsid w:val="00E17F60"/>
    <w:rsid w:val="00E206DC"/>
    <w:rsid w:val="00E25BE0"/>
    <w:rsid w:val="00E42231"/>
    <w:rsid w:val="00E44B79"/>
    <w:rsid w:val="00E45887"/>
    <w:rsid w:val="00E47269"/>
    <w:rsid w:val="00E53BD7"/>
    <w:rsid w:val="00E55997"/>
    <w:rsid w:val="00E5729D"/>
    <w:rsid w:val="00E61080"/>
    <w:rsid w:val="00E6538D"/>
    <w:rsid w:val="00E65D62"/>
    <w:rsid w:val="00E71929"/>
    <w:rsid w:val="00E739AF"/>
    <w:rsid w:val="00E803C1"/>
    <w:rsid w:val="00E849A7"/>
    <w:rsid w:val="00E861C2"/>
    <w:rsid w:val="00E86327"/>
    <w:rsid w:val="00E8725E"/>
    <w:rsid w:val="00E90481"/>
    <w:rsid w:val="00E919D6"/>
    <w:rsid w:val="00E958B4"/>
    <w:rsid w:val="00E963D0"/>
    <w:rsid w:val="00EA0052"/>
    <w:rsid w:val="00EA5E28"/>
    <w:rsid w:val="00EB19EC"/>
    <w:rsid w:val="00EC13FD"/>
    <w:rsid w:val="00ED105A"/>
    <w:rsid w:val="00ED352A"/>
    <w:rsid w:val="00EE2C36"/>
    <w:rsid w:val="00EE6937"/>
    <w:rsid w:val="00EE6A2B"/>
    <w:rsid w:val="00EF2EA6"/>
    <w:rsid w:val="00EF504E"/>
    <w:rsid w:val="00EF6565"/>
    <w:rsid w:val="00F00DEE"/>
    <w:rsid w:val="00F01686"/>
    <w:rsid w:val="00F03E09"/>
    <w:rsid w:val="00F061C0"/>
    <w:rsid w:val="00F119B2"/>
    <w:rsid w:val="00F17F67"/>
    <w:rsid w:val="00F20E0B"/>
    <w:rsid w:val="00F23989"/>
    <w:rsid w:val="00F252DB"/>
    <w:rsid w:val="00F26FDA"/>
    <w:rsid w:val="00F36466"/>
    <w:rsid w:val="00F3791F"/>
    <w:rsid w:val="00F41CC9"/>
    <w:rsid w:val="00F42375"/>
    <w:rsid w:val="00F458EC"/>
    <w:rsid w:val="00F47B0A"/>
    <w:rsid w:val="00F5113C"/>
    <w:rsid w:val="00F537B4"/>
    <w:rsid w:val="00F56CF5"/>
    <w:rsid w:val="00F66585"/>
    <w:rsid w:val="00F67B1F"/>
    <w:rsid w:val="00F70D0A"/>
    <w:rsid w:val="00F73419"/>
    <w:rsid w:val="00F8040B"/>
    <w:rsid w:val="00F80CBB"/>
    <w:rsid w:val="00F83176"/>
    <w:rsid w:val="00F92967"/>
    <w:rsid w:val="00F94A91"/>
    <w:rsid w:val="00F953CA"/>
    <w:rsid w:val="00FA3D84"/>
    <w:rsid w:val="00FA5F86"/>
    <w:rsid w:val="00FB0CF5"/>
    <w:rsid w:val="00FB5AC3"/>
    <w:rsid w:val="00FB662A"/>
    <w:rsid w:val="00FB6D68"/>
    <w:rsid w:val="00FC2688"/>
    <w:rsid w:val="00FC5EF4"/>
    <w:rsid w:val="00FC7182"/>
    <w:rsid w:val="00FD1625"/>
    <w:rsid w:val="00FD20A5"/>
    <w:rsid w:val="00FD24D5"/>
    <w:rsid w:val="00FD47E3"/>
    <w:rsid w:val="00FD5D79"/>
    <w:rsid w:val="00FD735C"/>
    <w:rsid w:val="00FE029E"/>
    <w:rsid w:val="00FE2F16"/>
    <w:rsid w:val="00FF2BBE"/>
    <w:rsid w:val="00FF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F7CAA6"/>
  <w15:docId w15:val="{42E269B3-2F64-443A-BF08-E33A2A1E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B78"/>
    <w:rPr>
      <w:sz w:val="20"/>
      <w:szCs w:val="20"/>
    </w:rPr>
  </w:style>
  <w:style w:type="paragraph" w:styleId="Heading1">
    <w:name w:val="heading 1"/>
    <w:basedOn w:val="Normal"/>
    <w:next w:val="Normal"/>
    <w:link w:val="Heading1Char"/>
    <w:autoRedefine/>
    <w:uiPriority w:val="9"/>
    <w:qFormat/>
    <w:rsid w:val="00BD3B29"/>
    <w:pPr>
      <w:keepNext/>
      <w:keepLines/>
      <w:spacing w:before="120" w:after="120" w:line="240" w:lineRule="auto"/>
      <w:outlineLvl w:val="0"/>
    </w:pPr>
    <w:rPr>
      <w:rFonts w:eastAsiaTheme="majorEastAsia" w:cstheme="minorHAnsi"/>
      <w:bCs/>
      <w:caps/>
      <w:color w:val="008BB6"/>
      <w:sz w:val="18"/>
      <w:szCs w:val="18"/>
    </w:rPr>
  </w:style>
  <w:style w:type="paragraph" w:styleId="Heading2">
    <w:name w:val="heading 2"/>
    <w:basedOn w:val="Normal"/>
    <w:next w:val="Normal"/>
    <w:link w:val="Heading2Char"/>
    <w:autoRedefine/>
    <w:uiPriority w:val="9"/>
    <w:unhideWhenUsed/>
    <w:qFormat/>
    <w:rsid w:val="00C9305E"/>
    <w:pPr>
      <w:keepNext/>
      <w:keepLines/>
      <w:spacing w:before="200" w:after="0"/>
      <w:outlineLvl w:val="1"/>
    </w:pPr>
    <w:rPr>
      <w:rFonts w:ascii="Arial Narrow" w:eastAsiaTheme="majorEastAsia" w:hAnsi="Arial Narrow" w:cstheme="majorBidi"/>
      <w:bCs/>
      <w:caps/>
      <w:color w:val="ACA6A2"/>
      <w:sz w:val="36"/>
      <w:szCs w:val="36"/>
    </w:rPr>
  </w:style>
  <w:style w:type="paragraph" w:styleId="Heading3">
    <w:name w:val="heading 3"/>
    <w:basedOn w:val="Normal"/>
    <w:next w:val="Normal"/>
    <w:link w:val="Heading3Char"/>
    <w:autoRedefine/>
    <w:uiPriority w:val="9"/>
    <w:unhideWhenUsed/>
    <w:qFormat/>
    <w:rsid w:val="00744E50"/>
    <w:pPr>
      <w:keepNext/>
      <w:keepLines/>
      <w:spacing w:before="200" w:after="0"/>
      <w:outlineLvl w:val="2"/>
    </w:pPr>
    <w:rPr>
      <w:rFonts w:asciiTheme="majorHAnsi" w:eastAsiaTheme="majorEastAsia" w:hAnsiTheme="majorHAnsi" w:cstheme="majorBidi"/>
      <w:bCs/>
      <w:caps/>
      <w:color w:val="008BB6"/>
    </w:rPr>
  </w:style>
  <w:style w:type="paragraph" w:styleId="Heading4">
    <w:name w:val="heading 4"/>
    <w:basedOn w:val="Heading3"/>
    <w:next w:val="Normal"/>
    <w:link w:val="Heading4Char"/>
    <w:autoRedefine/>
    <w:uiPriority w:val="9"/>
    <w:unhideWhenUsed/>
    <w:qFormat/>
    <w:rsid w:val="00142F6D"/>
    <w:pPr>
      <w:outlineLvl w:val="3"/>
    </w:pPr>
    <w:rPr>
      <w:b/>
      <w:caps w:val="0"/>
      <w:color w:val="auto"/>
    </w:rPr>
  </w:style>
  <w:style w:type="paragraph" w:styleId="Heading5">
    <w:name w:val="heading 5"/>
    <w:basedOn w:val="Normal"/>
    <w:next w:val="Normal"/>
    <w:link w:val="Heading5Char"/>
    <w:uiPriority w:val="9"/>
    <w:unhideWhenUsed/>
    <w:qFormat/>
    <w:rsid w:val="00473803"/>
    <w:pPr>
      <w:keepNext/>
      <w:keepLines/>
      <w:spacing w:before="40" w:after="0"/>
      <w:outlineLvl w:val="4"/>
    </w:pPr>
    <w:rPr>
      <w:rFonts w:asciiTheme="majorHAnsi" w:eastAsiaTheme="majorEastAsia" w:hAnsiTheme="majorHAnsi" w:cstheme="majorBidi"/>
      <w:color w:val="E4BA0E" w:themeColor="accent1" w:themeShade="BF"/>
    </w:rPr>
  </w:style>
  <w:style w:type="paragraph" w:styleId="Heading6">
    <w:name w:val="heading 6"/>
    <w:basedOn w:val="Normal"/>
    <w:next w:val="Normal"/>
    <w:link w:val="Heading6Char"/>
    <w:uiPriority w:val="9"/>
    <w:unhideWhenUsed/>
    <w:qFormat/>
    <w:rsid w:val="00473803"/>
    <w:pPr>
      <w:keepNext/>
      <w:keepLines/>
      <w:spacing w:before="40" w:after="0"/>
      <w:outlineLvl w:val="5"/>
    </w:pPr>
    <w:rPr>
      <w:rFonts w:asciiTheme="majorHAnsi" w:eastAsiaTheme="majorEastAsia" w:hAnsiTheme="majorHAnsi" w:cstheme="majorBidi"/>
      <w:color w:val="977B09" w:themeColor="accent1" w:themeShade="7F"/>
    </w:rPr>
  </w:style>
  <w:style w:type="paragraph" w:styleId="Heading7">
    <w:name w:val="heading 7"/>
    <w:basedOn w:val="Normal"/>
    <w:next w:val="Normal"/>
    <w:link w:val="Heading7Char"/>
    <w:uiPriority w:val="9"/>
    <w:unhideWhenUsed/>
    <w:qFormat/>
    <w:rsid w:val="00473803"/>
    <w:pPr>
      <w:keepNext/>
      <w:keepLines/>
      <w:spacing w:before="40" w:after="0"/>
      <w:outlineLvl w:val="6"/>
    </w:pPr>
    <w:rPr>
      <w:rFonts w:asciiTheme="majorHAnsi" w:eastAsiaTheme="majorEastAsia" w:hAnsiTheme="majorHAnsi" w:cstheme="majorBidi"/>
      <w:i/>
      <w:iCs/>
      <w:color w:val="977B09" w:themeColor="accent1" w:themeShade="7F"/>
    </w:rPr>
  </w:style>
  <w:style w:type="paragraph" w:styleId="Heading8">
    <w:name w:val="heading 8"/>
    <w:basedOn w:val="Normal"/>
    <w:next w:val="Normal"/>
    <w:link w:val="Heading8Char"/>
    <w:uiPriority w:val="9"/>
    <w:unhideWhenUsed/>
    <w:qFormat/>
    <w:rsid w:val="00CD0D7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B29"/>
    <w:rPr>
      <w:rFonts w:eastAsiaTheme="majorEastAsia" w:cstheme="minorHAnsi"/>
      <w:bCs/>
      <w:caps/>
      <w:color w:val="008BB6"/>
      <w:sz w:val="18"/>
      <w:szCs w:val="18"/>
    </w:rPr>
  </w:style>
  <w:style w:type="character" w:customStyle="1" w:styleId="Heading2Char">
    <w:name w:val="Heading 2 Char"/>
    <w:basedOn w:val="DefaultParagraphFont"/>
    <w:link w:val="Heading2"/>
    <w:uiPriority w:val="9"/>
    <w:rsid w:val="00C9305E"/>
    <w:rPr>
      <w:rFonts w:ascii="Arial Narrow" w:eastAsiaTheme="majorEastAsia" w:hAnsi="Arial Narrow" w:cstheme="majorBidi"/>
      <w:bCs/>
      <w:caps/>
      <w:color w:val="ACA6A2"/>
      <w:sz w:val="36"/>
      <w:szCs w:val="36"/>
    </w:rPr>
  </w:style>
  <w:style w:type="character" w:customStyle="1" w:styleId="Heading3Char">
    <w:name w:val="Heading 3 Char"/>
    <w:basedOn w:val="DefaultParagraphFont"/>
    <w:link w:val="Heading3"/>
    <w:uiPriority w:val="9"/>
    <w:rsid w:val="00744E50"/>
    <w:rPr>
      <w:rFonts w:asciiTheme="majorHAnsi" w:eastAsiaTheme="majorEastAsia" w:hAnsiTheme="majorHAnsi" w:cstheme="majorBidi"/>
      <w:bCs/>
      <w:caps/>
      <w:color w:val="008BB6"/>
      <w:sz w:val="20"/>
      <w:szCs w:val="20"/>
    </w:rPr>
  </w:style>
  <w:style w:type="character" w:customStyle="1" w:styleId="Heading4Char">
    <w:name w:val="Heading 4 Char"/>
    <w:basedOn w:val="DefaultParagraphFont"/>
    <w:link w:val="Heading4"/>
    <w:uiPriority w:val="9"/>
    <w:rsid w:val="00142F6D"/>
    <w:rPr>
      <w:rFonts w:asciiTheme="majorHAnsi" w:eastAsiaTheme="majorEastAsia" w:hAnsiTheme="majorHAnsi" w:cstheme="majorBidi"/>
      <w:b/>
      <w:bCs/>
      <w:sz w:val="20"/>
      <w:szCs w:val="20"/>
    </w:rPr>
  </w:style>
  <w:style w:type="table" w:styleId="TableGrid">
    <w:name w:val="Table Grid"/>
    <w:basedOn w:val="TableNormal"/>
    <w:uiPriority w:val="59"/>
    <w:rsid w:val="00636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72F0"/>
    <w:pPr>
      <w:keepNext/>
      <w:spacing w:line="240" w:lineRule="auto"/>
    </w:pPr>
    <w:rPr>
      <w:bCs/>
      <w:caps/>
      <w:color w:val="ACA6A2" w:themeColor="accent5"/>
    </w:rPr>
  </w:style>
  <w:style w:type="paragraph" w:customStyle="1" w:styleId="Note">
    <w:name w:val="Note"/>
    <w:basedOn w:val="Normal"/>
    <w:link w:val="NoteChar"/>
    <w:qFormat/>
    <w:rsid w:val="00E072F0"/>
    <w:pPr>
      <w:spacing w:before="120"/>
    </w:pPr>
    <w:rPr>
      <w:color w:val="ACA6A2" w:themeColor="accent5"/>
      <w:sz w:val="16"/>
      <w:szCs w:val="16"/>
    </w:rPr>
  </w:style>
  <w:style w:type="table" w:styleId="LightShading-Accent4">
    <w:name w:val="Light Shading Accent 4"/>
    <w:basedOn w:val="TableNormal"/>
    <w:uiPriority w:val="60"/>
    <w:rsid w:val="0063661C"/>
    <w:pPr>
      <w:spacing w:after="0" w:line="240" w:lineRule="auto"/>
    </w:pPr>
    <w:rPr>
      <w:color w:val="006788" w:themeColor="accent4" w:themeShade="BF"/>
    </w:rPr>
    <w:tblPr>
      <w:tblStyleRowBandSize w:val="1"/>
      <w:tblStyleColBandSize w:val="1"/>
      <w:tblBorders>
        <w:top w:val="single" w:sz="8" w:space="0" w:color="008BB6" w:themeColor="accent4"/>
        <w:bottom w:val="single" w:sz="8" w:space="0" w:color="008BB6" w:themeColor="accent4"/>
      </w:tblBorders>
    </w:tblPr>
    <w:tblStylePr w:type="firstRow">
      <w:pPr>
        <w:spacing w:before="0" w:after="0" w:line="240" w:lineRule="auto"/>
      </w:pPr>
      <w:rPr>
        <w:b/>
        <w:bCs/>
      </w:rPr>
      <w:tblPr/>
      <w:tcPr>
        <w:tcBorders>
          <w:top w:val="single" w:sz="8" w:space="0" w:color="008BB6" w:themeColor="accent4"/>
          <w:left w:val="nil"/>
          <w:bottom w:val="single" w:sz="8" w:space="0" w:color="008BB6" w:themeColor="accent4"/>
          <w:right w:val="nil"/>
          <w:insideH w:val="nil"/>
          <w:insideV w:val="nil"/>
        </w:tcBorders>
      </w:tcPr>
    </w:tblStylePr>
    <w:tblStylePr w:type="lastRow">
      <w:pPr>
        <w:spacing w:before="0" w:after="0" w:line="240" w:lineRule="auto"/>
      </w:pPr>
      <w:rPr>
        <w:b/>
        <w:bCs/>
      </w:rPr>
      <w:tblPr/>
      <w:tcPr>
        <w:tcBorders>
          <w:top w:val="single" w:sz="8" w:space="0" w:color="008BB6" w:themeColor="accent4"/>
          <w:left w:val="nil"/>
          <w:bottom w:val="single" w:sz="8" w:space="0" w:color="008BB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EBFF" w:themeFill="accent4" w:themeFillTint="3F"/>
      </w:tcPr>
    </w:tblStylePr>
    <w:tblStylePr w:type="band1Horz">
      <w:tblPr/>
      <w:tcPr>
        <w:tcBorders>
          <w:left w:val="nil"/>
          <w:right w:val="nil"/>
          <w:insideH w:val="nil"/>
          <w:insideV w:val="nil"/>
        </w:tcBorders>
        <w:shd w:val="clear" w:color="auto" w:fill="ADEBFF" w:themeFill="accent4" w:themeFillTint="3F"/>
      </w:tcPr>
    </w:tblStylePr>
  </w:style>
  <w:style w:type="character" w:customStyle="1" w:styleId="NoteChar">
    <w:name w:val="Note Char"/>
    <w:basedOn w:val="DefaultParagraphFont"/>
    <w:link w:val="Note"/>
    <w:rsid w:val="00E072F0"/>
    <w:rPr>
      <w:color w:val="ACA6A2" w:themeColor="accent5"/>
      <w:sz w:val="16"/>
      <w:szCs w:val="16"/>
    </w:rPr>
  </w:style>
  <w:style w:type="table" w:styleId="LightList-Accent4">
    <w:name w:val="Light List Accent 4"/>
    <w:basedOn w:val="TableNormal"/>
    <w:uiPriority w:val="61"/>
    <w:rsid w:val="0063661C"/>
    <w:pPr>
      <w:spacing w:after="0" w:line="240" w:lineRule="auto"/>
    </w:pPr>
    <w:tblPr>
      <w:tblStyleRowBandSize w:val="1"/>
      <w:tblStyleColBandSize w:val="1"/>
      <w:tblBorders>
        <w:top w:val="single" w:sz="8" w:space="0" w:color="008BB6" w:themeColor="accent4"/>
        <w:left w:val="single" w:sz="8" w:space="0" w:color="008BB6" w:themeColor="accent4"/>
        <w:bottom w:val="single" w:sz="8" w:space="0" w:color="008BB6" w:themeColor="accent4"/>
        <w:right w:val="single" w:sz="8" w:space="0" w:color="008BB6" w:themeColor="accent4"/>
      </w:tblBorders>
    </w:tblPr>
    <w:tblStylePr w:type="firstRow">
      <w:pPr>
        <w:spacing w:before="0" w:after="0" w:line="240" w:lineRule="auto"/>
      </w:pPr>
      <w:rPr>
        <w:b/>
        <w:bCs/>
        <w:color w:val="FFFFFF" w:themeColor="background1"/>
      </w:rPr>
      <w:tblPr/>
      <w:tcPr>
        <w:shd w:val="clear" w:color="auto" w:fill="008BB6" w:themeFill="accent4"/>
      </w:tcPr>
    </w:tblStylePr>
    <w:tblStylePr w:type="lastRow">
      <w:pPr>
        <w:spacing w:before="0" w:after="0" w:line="240" w:lineRule="auto"/>
      </w:pPr>
      <w:rPr>
        <w:b/>
        <w:bCs/>
      </w:rPr>
      <w:tblPr/>
      <w:tcPr>
        <w:tcBorders>
          <w:top w:val="double" w:sz="6" w:space="0" w:color="008BB6" w:themeColor="accent4"/>
          <w:left w:val="single" w:sz="8" w:space="0" w:color="008BB6" w:themeColor="accent4"/>
          <w:bottom w:val="single" w:sz="8" w:space="0" w:color="008BB6" w:themeColor="accent4"/>
          <w:right w:val="single" w:sz="8" w:space="0" w:color="008BB6" w:themeColor="accent4"/>
        </w:tcBorders>
      </w:tcPr>
    </w:tblStylePr>
    <w:tblStylePr w:type="firstCol">
      <w:rPr>
        <w:b/>
        <w:bCs/>
      </w:rPr>
    </w:tblStylePr>
    <w:tblStylePr w:type="lastCol">
      <w:rPr>
        <w:b/>
        <w:bCs/>
      </w:rPr>
    </w:tblStylePr>
    <w:tblStylePr w:type="band1Vert">
      <w:tblPr/>
      <w:tcPr>
        <w:tcBorders>
          <w:top w:val="single" w:sz="8" w:space="0" w:color="008BB6" w:themeColor="accent4"/>
          <w:left w:val="single" w:sz="8" w:space="0" w:color="008BB6" w:themeColor="accent4"/>
          <w:bottom w:val="single" w:sz="8" w:space="0" w:color="008BB6" w:themeColor="accent4"/>
          <w:right w:val="single" w:sz="8" w:space="0" w:color="008BB6" w:themeColor="accent4"/>
        </w:tcBorders>
      </w:tcPr>
    </w:tblStylePr>
    <w:tblStylePr w:type="band1Horz">
      <w:tblPr/>
      <w:tcPr>
        <w:tcBorders>
          <w:top w:val="single" w:sz="8" w:space="0" w:color="008BB6" w:themeColor="accent4"/>
          <w:left w:val="single" w:sz="8" w:space="0" w:color="008BB6" w:themeColor="accent4"/>
          <w:bottom w:val="single" w:sz="8" w:space="0" w:color="008BB6" w:themeColor="accent4"/>
          <w:right w:val="single" w:sz="8" w:space="0" w:color="008BB6" w:themeColor="accent4"/>
        </w:tcBorders>
      </w:tcPr>
    </w:tblStylePr>
  </w:style>
  <w:style w:type="table" w:styleId="LightList-Accent5">
    <w:name w:val="Light List Accent 5"/>
    <w:aliases w:val="TRA"/>
    <w:basedOn w:val="TableNormal"/>
    <w:uiPriority w:val="61"/>
    <w:rsid w:val="003F7E5F"/>
    <w:pPr>
      <w:spacing w:before="120" w:after="120" w:line="240" w:lineRule="auto"/>
    </w:pPr>
    <w:rPr>
      <w:sz w:val="18"/>
    </w:rPr>
    <w:tblPr>
      <w:tblStyleRowBandSize w:val="1"/>
      <w:tblStyleColBandSize w:val="1"/>
      <w:tblBorders>
        <w:top w:val="single" w:sz="8" w:space="0" w:color="ACA6A2" w:themeColor="accent5"/>
        <w:left w:val="single" w:sz="8" w:space="0" w:color="ACA6A2" w:themeColor="accent5"/>
        <w:bottom w:val="single" w:sz="8" w:space="0" w:color="ACA6A2" w:themeColor="accent5"/>
        <w:right w:val="single" w:sz="8" w:space="0" w:color="ACA6A2" w:themeColor="accent5"/>
      </w:tblBorders>
    </w:tblPr>
    <w:tblStylePr w:type="firstRow">
      <w:pPr>
        <w:wordWrap/>
        <w:spacing w:beforeLines="0" w:before="120" w:beforeAutospacing="0" w:afterLines="0" w:after="120" w:afterAutospacing="0" w:line="240" w:lineRule="auto"/>
      </w:pPr>
      <w:rPr>
        <w:rFonts w:ascii="Arial" w:hAnsi="Arial"/>
        <w:b w:val="0"/>
        <w:bCs/>
        <w:color w:val="FFFFFF" w:themeColor="background1"/>
        <w:sz w:val="22"/>
      </w:rPr>
      <w:tblPr/>
      <w:tcPr>
        <w:shd w:val="clear" w:color="auto" w:fill="ACA6A2" w:themeFill="accent5"/>
      </w:tcPr>
    </w:tblStylePr>
    <w:tblStylePr w:type="lastRow">
      <w:pPr>
        <w:wordWrap/>
        <w:spacing w:beforeLines="0" w:before="120" w:beforeAutospacing="0" w:afterLines="0" w:after="120" w:afterAutospacing="0" w:line="240" w:lineRule="auto"/>
      </w:pPr>
      <w:rPr>
        <w:rFonts w:ascii="Arial" w:hAnsi="Arial"/>
        <w:b w:val="0"/>
        <w:bCs/>
        <w:sz w:val="18"/>
      </w:rPr>
      <w:tblPr/>
      <w:tcPr>
        <w:shd w:val="clear" w:color="auto" w:fill="ACA6A2" w:themeFill="accent5"/>
      </w:tcPr>
    </w:tblStylePr>
    <w:tblStylePr w:type="firstCol">
      <w:rPr>
        <w:rFonts w:ascii="Arial" w:hAnsi="Arial"/>
        <w:b w:val="0"/>
        <w:bCs/>
        <w:sz w:val="18"/>
      </w:rPr>
    </w:tblStylePr>
    <w:tblStylePr w:type="lastCol">
      <w:rPr>
        <w:rFonts w:ascii="Arial" w:hAnsi="Arial"/>
        <w:b w:val="0"/>
        <w:bCs/>
        <w:sz w:val="18"/>
      </w:rPr>
    </w:tblStylePr>
    <w:tblStylePr w:type="band1Vert">
      <w:rPr>
        <w:rFonts w:ascii="Arial" w:hAnsi="Arial"/>
        <w:sz w:val="18"/>
      </w:rPr>
      <w:tblPr/>
      <w:tcPr>
        <w:shd w:val="clear" w:color="auto" w:fill="DEDBD5" w:themeFill="background2"/>
      </w:tcPr>
    </w:tblStylePr>
    <w:tblStylePr w:type="band1Horz">
      <w:rPr>
        <w:rFonts w:ascii="Arial" w:hAnsi="Arial"/>
        <w:sz w:val="18"/>
      </w:rPr>
    </w:tblStylePr>
    <w:tblStylePr w:type="band2Horz">
      <w:rPr>
        <w:rFonts w:ascii="Arial" w:hAnsi="Arial"/>
        <w:sz w:val="18"/>
      </w:rPr>
      <w:tblPr/>
      <w:tcPr>
        <w:shd w:val="clear" w:color="auto" w:fill="DEDBD5" w:themeFill="background2"/>
      </w:tcPr>
    </w:tblStylePr>
  </w:style>
  <w:style w:type="paragraph" w:styleId="Header">
    <w:name w:val="header"/>
    <w:basedOn w:val="Normal"/>
    <w:link w:val="HeaderChar"/>
    <w:uiPriority w:val="99"/>
    <w:unhideWhenUsed/>
    <w:rsid w:val="003F7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E5F"/>
  </w:style>
  <w:style w:type="paragraph" w:styleId="Footer">
    <w:name w:val="footer"/>
    <w:basedOn w:val="Normal"/>
    <w:link w:val="FooterChar"/>
    <w:uiPriority w:val="99"/>
    <w:unhideWhenUsed/>
    <w:rsid w:val="003F7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E5F"/>
  </w:style>
  <w:style w:type="paragraph" w:styleId="Title">
    <w:name w:val="Title"/>
    <w:basedOn w:val="Normal"/>
    <w:next w:val="Normal"/>
    <w:link w:val="TitleChar"/>
    <w:autoRedefine/>
    <w:uiPriority w:val="10"/>
    <w:qFormat/>
    <w:rsid w:val="00663923"/>
    <w:pPr>
      <w:spacing w:after="240" w:line="240" w:lineRule="auto"/>
    </w:pPr>
    <w:rPr>
      <w:rFonts w:ascii="Arial Narrow" w:eastAsiaTheme="majorEastAsia" w:hAnsi="Arial Narrow" w:cstheme="majorBidi"/>
      <w:b/>
      <w:caps/>
      <w:color w:val="ACA6A2"/>
      <w:spacing w:val="5"/>
      <w:kern w:val="28"/>
      <w:sz w:val="72"/>
      <w:szCs w:val="72"/>
    </w:rPr>
  </w:style>
  <w:style w:type="character" w:customStyle="1" w:styleId="TitleChar">
    <w:name w:val="Title Char"/>
    <w:basedOn w:val="DefaultParagraphFont"/>
    <w:link w:val="Title"/>
    <w:uiPriority w:val="10"/>
    <w:rsid w:val="00663923"/>
    <w:rPr>
      <w:rFonts w:ascii="Arial Narrow" w:eastAsiaTheme="majorEastAsia" w:hAnsi="Arial Narrow" w:cstheme="majorBidi"/>
      <w:b/>
      <w:caps/>
      <w:color w:val="ACA6A2"/>
      <w:spacing w:val="5"/>
      <w:kern w:val="28"/>
      <w:sz w:val="72"/>
      <w:szCs w:val="72"/>
    </w:rPr>
  </w:style>
  <w:style w:type="paragraph" w:styleId="ListParagraph">
    <w:name w:val="List Paragraph"/>
    <w:basedOn w:val="Normal"/>
    <w:uiPriority w:val="34"/>
    <w:qFormat/>
    <w:rsid w:val="005D2C8F"/>
    <w:pPr>
      <w:numPr>
        <w:numId w:val="4"/>
      </w:numPr>
      <w:spacing w:line="240" w:lineRule="auto"/>
      <w:contextualSpacing/>
    </w:pPr>
    <w:rPr>
      <w:rFonts w:cstheme="minorHAnsi"/>
    </w:rPr>
  </w:style>
  <w:style w:type="paragraph" w:styleId="BalloonText">
    <w:name w:val="Balloon Text"/>
    <w:basedOn w:val="Normal"/>
    <w:link w:val="BalloonTextChar"/>
    <w:uiPriority w:val="99"/>
    <w:semiHidden/>
    <w:unhideWhenUsed/>
    <w:rsid w:val="00A37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5F5"/>
    <w:rPr>
      <w:rFonts w:ascii="Tahoma" w:hAnsi="Tahoma" w:cs="Tahoma"/>
      <w:sz w:val="16"/>
      <w:szCs w:val="16"/>
    </w:rPr>
  </w:style>
  <w:style w:type="paragraph" w:customStyle="1" w:styleId="Tablecolumnheading">
    <w:name w:val="Table/column heading"/>
    <w:basedOn w:val="Normal"/>
    <w:link w:val="TablecolumnheadingChar"/>
    <w:qFormat/>
    <w:rsid w:val="00E61080"/>
    <w:pPr>
      <w:framePr w:hSpace="180" w:wrap="around" w:vAnchor="text" w:hAnchor="margin" w:y="112"/>
      <w:spacing w:before="120" w:after="120" w:line="240" w:lineRule="auto"/>
    </w:pPr>
    <w:rPr>
      <w:rFonts w:ascii="Arial" w:hAnsi="Arial"/>
      <w:b/>
      <w:bCs/>
      <w:color w:val="FFFFFF" w:themeColor="background1"/>
    </w:rPr>
  </w:style>
  <w:style w:type="character" w:customStyle="1" w:styleId="TablecolumnheadingChar">
    <w:name w:val="Table/column heading Char"/>
    <w:basedOn w:val="DefaultParagraphFont"/>
    <w:link w:val="Tablecolumnheading"/>
    <w:rsid w:val="00E61080"/>
    <w:rPr>
      <w:rFonts w:ascii="Arial" w:hAnsi="Arial"/>
      <w:b/>
      <w:bCs/>
      <w:color w:val="FFFFFF" w:themeColor="background1"/>
      <w:sz w:val="20"/>
      <w:szCs w:val="20"/>
    </w:rPr>
  </w:style>
  <w:style w:type="paragraph" w:customStyle="1" w:styleId="Default">
    <w:name w:val="Default"/>
    <w:rsid w:val="005943DC"/>
    <w:pPr>
      <w:autoSpaceDE w:val="0"/>
      <w:autoSpaceDN w:val="0"/>
      <w:adjustRightInd w:val="0"/>
      <w:spacing w:after="0" w:line="240" w:lineRule="auto"/>
    </w:pPr>
    <w:rPr>
      <w:rFonts w:ascii="Trade Gothic LT Std Light" w:hAnsi="Trade Gothic LT Std Light" w:cs="Trade Gothic LT Std Light"/>
      <w:color w:val="000000"/>
      <w:sz w:val="24"/>
      <w:szCs w:val="24"/>
    </w:rPr>
  </w:style>
  <w:style w:type="paragraph" w:customStyle="1" w:styleId="Pa4">
    <w:name w:val="Pa4"/>
    <w:basedOn w:val="Default"/>
    <w:next w:val="Default"/>
    <w:uiPriority w:val="99"/>
    <w:rsid w:val="00A308FE"/>
    <w:pPr>
      <w:spacing w:line="191" w:lineRule="atLeast"/>
    </w:pPr>
    <w:rPr>
      <w:rFonts w:cstheme="minorBidi"/>
      <w:color w:val="auto"/>
    </w:rPr>
  </w:style>
  <w:style w:type="paragraph" w:customStyle="1" w:styleId="Pa12">
    <w:name w:val="Pa12"/>
    <w:basedOn w:val="Default"/>
    <w:next w:val="Default"/>
    <w:uiPriority w:val="99"/>
    <w:rsid w:val="00991968"/>
    <w:pPr>
      <w:spacing w:line="241" w:lineRule="atLeast"/>
    </w:pPr>
    <w:rPr>
      <w:rFonts w:ascii="TradeGothic" w:hAnsi="TradeGothic" w:cstheme="minorBidi"/>
      <w:color w:val="auto"/>
    </w:rPr>
  </w:style>
  <w:style w:type="character" w:styleId="CommentReference">
    <w:name w:val="annotation reference"/>
    <w:basedOn w:val="DefaultParagraphFont"/>
    <w:uiPriority w:val="99"/>
    <w:semiHidden/>
    <w:unhideWhenUsed/>
    <w:rsid w:val="00045A17"/>
    <w:rPr>
      <w:sz w:val="16"/>
      <w:szCs w:val="16"/>
    </w:rPr>
  </w:style>
  <w:style w:type="paragraph" w:styleId="CommentText">
    <w:name w:val="annotation text"/>
    <w:basedOn w:val="Normal"/>
    <w:link w:val="CommentTextChar"/>
    <w:uiPriority w:val="99"/>
    <w:semiHidden/>
    <w:unhideWhenUsed/>
    <w:rsid w:val="00045A17"/>
    <w:pPr>
      <w:spacing w:line="240" w:lineRule="auto"/>
    </w:pPr>
  </w:style>
  <w:style w:type="character" w:customStyle="1" w:styleId="CommentTextChar">
    <w:name w:val="Comment Text Char"/>
    <w:basedOn w:val="DefaultParagraphFont"/>
    <w:link w:val="CommentText"/>
    <w:uiPriority w:val="99"/>
    <w:semiHidden/>
    <w:rsid w:val="00045A17"/>
    <w:rPr>
      <w:sz w:val="20"/>
      <w:szCs w:val="20"/>
    </w:rPr>
  </w:style>
  <w:style w:type="paragraph" w:styleId="CommentSubject">
    <w:name w:val="annotation subject"/>
    <w:basedOn w:val="CommentText"/>
    <w:next w:val="CommentText"/>
    <w:link w:val="CommentSubjectChar"/>
    <w:uiPriority w:val="99"/>
    <w:semiHidden/>
    <w:unhideWhenUsed/>
    <w:rsid w:val="00045A17"/>
    <w:rPr>
      <w:b/>
      <w:bCs/>
    </w:rPr>
  </w:style>
  <w:style w:type="character" w:customStyle="1" w:styleId="CommentSubjectChar">
    <w:name w:val="Comment Subject Char"/>
    <w:basedOn w:val="CommentTextChar"/>
    <w:link w:val="CommentSubject"/>
    <w:uiPriority w:val="99"/>
    <w:semiHidden/>
    <w:rsid w:val="00045A17"/>
    <w:rPr>
      <w:b/>
      <w:bCs/>
      <w:sz w:val="20"/>
      <w:szCs w:val="20"/>
    </w:rPr>
  </w:style>
  <w:style w:type="character" w:customStyle="1" w:styleId="Heading5Char">
    <w:name w:val="Heading 5 Char"/>
    <w:basedOn w:val="DefaultParagraphFont"/>
    <w:link w:val="Heading5"/>
    <w:uiPriority w:val="9"/>
    <w:rsid w:val="00473803"/>
    <w:rPr>
      <w:rFonts w:asciiTheme="majorHAnsi" w:eastAsiaTheme="majorEastAsia" w:hAnsiTheme="majorHAnsi" w:cstheme="majorBidi"/>
      <w:color w:val="E4BA0E" w:themeColor="accent1" w:themeShade="BF"/>
      <w:sz w:val="20"/>
      <w:szCs w:val="20"/>
    </w:rPr>
  </w:style>
  <w:style w:type="character" w:customStyle="1" w:styleId="Heading6Char">
    <w:name w:val="Heading 6 Char"/>
    <w:basedOn w:val="DefaultParagraphFont"/>
    <w:link w:val="Heading6"/>
    <w:uiPriority w:val="9"/>
    <w:rsid w:val="00473803"/>
    <w:rPr>
      <w:rFonts w:asciiTheme="majorHAnsi" w:eastAsiaTheme="majorEastAsia" w:hAnsiTheme="majorHAnsi" w:cstheme="majorBidi"/>
      <w:color w:val="977B09" w:themeColor="accent1" w:themeShade="7F"/>
      <w:sz w:val="20"/>
      <w:szCs w:val="20"/>
    </w:rPr>
  </w:style>
  <w:style w:type="character" w:customStyle="1" w:styleId="Heading7Char">
    <w:name w:val="Heading 7 Char"/>
    <w:basedOn w:val="DefaultParagraphFont"/>
    <w:link w:val="Heading7"/>
    <w:uiPriority w:val="9"/>
    <w:rsid w:val="00473803"/>
    <w:rPr>
      <w:rFonts w:asciiTheme="majorHAnsi" w:eastAsiaTheme="majorEastAsia" w:hAnsiTheme="majorHAnsi" w:cstheme="majorBidi"/>
      <w:i/>
      <w:iCs/>
      <w:color w:val="977B09" w:themeColor="accent1" w:themeShade="7F"/>
      <w:sz w:val="20"/>
      <w:szCs w:val="20"/>
    </w:rPr>
  </w:style>
  <w:style w:type="paragraph" w:styleId="Revision">
    <w:name w:val="Revision"/>
    <w:hidden/>
    <w:uiPriority w:val="99"/>
    <w:semiHidden/>
    <w:rsid w:val="00063425"/>
    <w:pPr>
      <w:spacing w:after="0" w:line="240" w:lineRule="auto"/>
    </w:pPr>
    <w:rPr>
      <w:sz w:val="20"/>
      <w:szCs w:val="20"/>
    </w:rPr>
  </w:style>
  <w:style w:type="character" w:customStyle="1" w:styleId="Heading8Char">
    <w:name w:val="Heading 8 Char"/>
    <w:basedOn w:val="DefaultParagraphFont"/>
    <w:link w:val="Heading8"/>
    <w:uiPriority w:val="9"/>
    <w:rsid w:val="00CD0D7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0929">
      <w:bodyDiv w:val="1"/>
      <w:marLeft w:val="0"/>
      <w:marRight w:val="0"/>
      <w:marTop w:val="0"/>
      <w:marBottom w:val="0"/>
      <w:divBdr>
        <w:top w:val="none" w:sz="0" w:space="0" w:color="auto"/>
        <w:left w:val="none" w:sz="0" w:space="0" w:color="auto"/>
        <w:bottom w:val="none" w:sz="0" w:space="0" w:color="auto"/>
        <w:right w:val="none" w:sz="0" w:space="0" w:color="auto"/>
      </w:divBdr>
    </w:div>
    <w:div w:id="510415799">
      <w:bodyDiv w:val="1"/>
      <w:marLeft w:val="0"/>
      <w:marRight w:val="0"/>
      <w:marTop w:val="0"/>
      <w:marBottom w:val="0"/>
      <w:divBdr>
        <w:top w:val="none" w:sz="0" w:space="0" w:color="auto"/>
        <w:left w:val="none" w:sz="0" w:space="0" w:color="auto"/>
        <w:bottom w:val="none" w:sz="0" w:space="0" w:color="auto"/>
        <w:right w:val="none" w:sz="0" w:space="0" w:color="auto"/>
      </w:divBdr>
    </w:div>
    <w:div w:id="773941895">
      <w:bodyDiv w:val="1"/>
      <w:marLeft w:val="0"/>
      <w:marRight w:val="0"/>
      <w:marTop w:val="0"/>
      <w:marBottom w:val="0"/>
      <w:divBdr>
        <w:top w:val="none" w:sz="0" w:space="0" w:color="auto"/>
        <w:left w:val="none" w:sz="0" w:space="0" w:color="auto"/>
        <w:bottom w:val="none" w:sz="0" w:space="0" w:color="auto"/>
        <w:right w:val="none" w:sz="0" w:space="0" w:color="auto"/>
      </w:divBdr>
    </w:div>
    <w:div w:id="1412703802">
      <w:bodyDiv w:val="1"/>
      <w:marLeft w:val="0"/>
      <w:marRight w:val="0"/>
      <w:marTop w:val="0"/>
      <w:marBottom w:val="0"/>
      <w:divBdr>
        <w:top w:val="none" w:sz="0" w:space="0" w:color="auto"/>
        <w:left w:val="none" w:sz="0" w:space="0" w:color="auto"/>
        <w:bottom w:val="none" w:sz="0" w:space="0" w:color="auto"/>
        <w:right w:val="none" w:sz="0" w:space="0" w:color="auto"/>
      </w:divBdr>
    </w:div>
    <w:div w:id="1581134103">
      <w:bodyDiv w:val="1"/>
      <w:marLeft w:val="0"/>
      <w:marRight w:val="0"/>
      <w:marTop w:val="0"/>
      <w:marBottom w:val="0"/>
      <w:divBdr>
        <w:top w:val="none" w:sz="0" w:space="0" w:color="auto"/>
        <w:left w:val="none" w:sz="0" w:space="0" w:color="auto"/>
        <w:bottom w:val="none" w:sz="0" w:space="0" w:color="auto"/>
        <w:right w:val="none" w:sz="0" w:space="0" w:color="auto"/>
      </w:divBdr>
    </w:div>
    <w:div w:id="1604454419">
      <w:bodyDiv w:val="1"/>
      <w:marLeft w:val="0"/>
      <w:marRight w:val="0"/>
      <w:marTop w:val="0"/>
      <w:marBottom w:val="0"/>
      <w:divBdr>
        <w:top w:val="none" w:sz="0" w:space="0" w:color="auto"/>
        <w:left w:val="none" w:sz="0" w:space="0" w:color="auto"/>
        <w:bottom w:val="none" w:sz="0" w:space="0" w:color="auto"/>
        <w:right w:val="none" w:sz="0" w:space="0" w:color="auto"/>
      </w:divBdr>
    </w:div>
    <w:div w:id="1672873657">
      <w:bodyDiv w:val="1"/>
      <w:marLeft w:val="0"/>
      <w:marRight w:val="0"/>
      <w:marTop w:val="0"/>
      <w:marBottom w:val="0"/>
      <w:divBdr>
        <w:top w:val="none" w:sz="0" w:space="0" w:color="auto"/>
        <w:left w:val="none" w:sz="0" w:space="0" w:color="auto"/>
        <w:bottom w:val="none" w:sz="0" w:space="0" w:color="auto"/>
        <w:right w:val="none" w:sz="0" w:space="0" w:color="auto"/>
      </w:divBdr>
    </w:div>
    <w:div w:id="1742216034">
      <w:bodyDiv w:val="1"/>
      <w:marLeft w:val="0"/>
      <w:marRight w:val="0"/>
      <w:marTop w:val="0"/>
      <w:marBottom w:val="0"/>
      <w:divBdr>
        <w:top w:val="none" w:sz="0" w:space="0" w:color="auto"/>
        <w:left w:val="none" w:sz="0" w:space="0" w:color="auto"/>
        <w:bottom w:val="none" w:sz="0" w:space="0" w:color="auto"/>
        <w:right w:val="none" w:sz="0" w:space="0" w:color="auto"/>
      </w:divBdr>
    </w:div>
    <w:div w:id="1791243589">
      <w:bodyDiv w:val="1"/>
      <w:marLeft w:val="0"/>
      <w:marRight w:val="0"/>
      <w:marTop w:val="0"/>
      <w:marBottom w:val="0"/>
      <w:divBdr>
        <w:top w:val="none" w:sz="0" w:space="0" w:color="auto"/>
        <w:left w:val="none" w:sz="0" w:space="0" w:color="auto"/>
        <w:bottom w:val="none" w:sz="0" w:space="0" w:color="auto"/>
        <w:right w:val="none" w:sz="0" w:space="0" w:color="auto"/>
      </w:divBdr>
    </w:div>
    <w:div w:id="2066684381">
      <w:bodyDiv w:val="1"/>
      <w:marLeft w:val="0"/>
      <w:marRight w:val="0"/>
      <w:marTop w:val="0"/>
      <w:marBottom w:val="0"/>
      <w:divBdr>
        <w:top w:val="none" w:sz="0" w:space="0" w:color="auto"/>
        <w:left w:val="none" w:sz="0" w:space="0" w:color="auto"/>
        <w:bottom w:val="none" w:sz="0" w:space="0" w:color="auto"/>
        <w:right w:val="none" w:sz="0" w:space="0" w:color="auto"/>
      </w:divBdr>
    </w:div>
    <w:div w:id="209781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TRA\Outreach%20and%20Regional%20Research\Administration\TRA%20Corporate%20Style\Templates\TRA_SimpleWordTemplate_March201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lobal.austrade.int\userdata\australia\canberra\Jessica-BarrittEyles\Quarterly%20release\NVS%20Summary%20Checks\March%202021\Summary%20data%20Quart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lobal.austrade.int\userdata\australia\canberra\Jessica-BarrittEyles\Quarterly%20release\NVS%20Summary%20Checks\March%202021\Cumulative%20Loss%20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lobal.austrade.int\userdata\australia\canberra\Jessica-BarrittEyles\Quarterly%20release\NVS%20Summary%20Checks\March%202021\Summary%20data%20Quart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lobal.austrade.int\userdata\australia\canberra\Jessica-BarrittEyles\Quarterly%20release\NVS%20Summary%20Checks\March%202021\Alternative%20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lobal.austrade.int\userdata\australia\canberra\Jessica-BarrittEyles\Quarterly%20release\NVS%20Summary%20Checks\March%202021\Alternative%20char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Inter_Intra!$Q$32</c:f>
              <c:strCache>
                <c:ptCount val="1"/>
                <c:pt idx="0">
                  <c:v>Interstate</c:v>
                </c:pt>
              </c:strCache>
            </c:strRef>
          </c:tx>
          <c:spPr>
            <a:solidFill>
              <a:srgbClr val="007FA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Inter_Intra!$P$33:$P$39</c:f>
              <c:strCache>
                <c:ptCount val="7"/>
                <c:pt idx="0">
                  <c:v>New South Wales</c:v>
                </c:pt>
                <c:pt idx="1">
                  <c:v>Victoria</c:v>
                </c:pt>
                <c:pt idx="2">
                  <c:v>Queensland</c:v>
                </c:pt>
                <c:pt idx="3">
                  <c:v>South Australia</c:v>
                </c:pt>
                <c:pt idx="4">
                  <c:v>Western Australia</c:v>
                </c:pt>
                <c:pt idx="5">
                  <c:v>Tasmania</c:v>
                </c:pt>
                <c:pt idx="6">
                  <c:v>Northern Territory</c:v>
                </c:pt>
              </c:strCache>
            </c:strRef>
          </c:cat>
          <c:val>
            <c:numRef>
              <c:f>Inter_Intra!$Q$33:$Q$39</c:f>
              <c:numCache>
                <c:formatCode>General</c:formatCode>
                <c:ptCount val="7"/>
                <c:pt idx="0">
                  <c:v>-19</c:v>
                </c:pt>
                <c:pt idx="1">
                  <c:v>-55</c:v>
                </c:pt>
                <c:pt idx="2">
                  <c:v>-5</c:v>
                </c:pt>
                <c:pt idx="3">
                  <c:v>-17</c:v>
                </c:pt>
                <c:pt idx="4">
                  <c:v>-60</c:v>
                </c:pt>
                <c:pt idx="5">
                  <c:v>-24</c:v>
                </c:pt>
                <c:pt idx="6">
                  <c:v>-24</c:v>
                </c:pt>
              </c:numCache>
            </c:numRef>
          </c:val>
        </c:ser>
        <c:ser>
          <c:idx val="1"/>
          <c:order val="1"/>
          <c:tx>
            <c:strRef>
              <c:f>Inter_Intra!$R$32</c:f>
              <c:strCache>
                <c:ptCount val="1"/>
                <c:pt idx="0">
                  <c:v>Intrastate</c:v>
                </c:pt>
              </c:strCache>
            </c:strRef>
          </c:tx>
          <c:spPr>
            <a:solidFill>
              <a:srgbClr val="C9DB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Inter_Intra!$P$33:$P$39</c:f>
              <c:strCache>
                <c:ptCount val="7"/>
                <c:pt idx="0">
                  <c:v>New South Wales</c:v>
                </c:pt>
                <c:pt idx="1">
                  <c:v>Victoria</c:v>
                </c:pt>
                <c:pt idx="2">
                  <c:v>Queensland</c:v>
                </c:pt>
                <c:pt idx="3">
                  <c:v>South Australia</c:v>
                </c:pt>
                <c:pt idx="4">
                  <c:v>Western Australia</c:v>
                </c:pt>
                <c:pt idx="5">
                  <c:v>Tasmania</c:v>
                </c:pt>
                <c:pt idx="6">
                  <c:v>Northern Territory</c:v>
                </c:pt>
              </c:strCache>
            </c:strRef>
          </c:cat>
          <c:val>
            <c:numRef>
              <c:f>Inter_Intra!$R$33:$R$39</c:f>
              <c:numCache>
                <c:formatCode>General</c:formatCode>
                <c:ptCount val="7"/>
                <c:pt idx="0">
                  <c:v>25</c:v>
                </c:pt>
                <c:pt idx="1">
                  <c:v>16</c:v>
                </c:pt>
                <c:pt idx="2">
                  <c:v>17</c:v>
                </c:pt>
                <c:pt idx="3">
                  <c:v>25</c:v>
                </c:pt>
                <c:pt idx="4">
                  <c:v>24</c:v>
                </c:pt>
                <c:pt idx="5">
                  <c:v>42</c:v>
                </c:pt>
                <c:pt idx="6">
                  <c:v>26</c:v>
                </c:pt>
              </c:numCache>
            </c:numRef>
          </c:val>
        </c:ser>
        <c:dLbls>
          <c:showLegendKey val="0"/>
          <c:showVal val="0"/>
          <c:showCatName val="0"/>
          <c:showSerName val="0"/>
          <c:showPercent val="0"/>
          <c:showBubbleSize val="0"/>
        </c:dLbls>
        <c:gapWidth val="219"/>
        <c:overlap val="-27"/>
        <c:axId val="263535968"/>
        <c:axId val="263536360"/>
      </c:barChart>
      <c:catAx>
        <c:axId val="2635359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3536360"/>
        <c:crosses val="autoZero"/>
        <c:auto val="1"/>
        <c:lblAlgn val="ctr"/>
        <c:lblOffset val="100"/>
        <c:noMultiLvlLbl val="0"/>
      </c:catAx>
      <c:valAx>
        <c:axId val="263536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3535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75434428455064E-2"/>
          <c:y val="9.5485069083345711E-2"/>
          <c:w val="0.86728140652479535"/>
          <c:h val="0.7325146337839844"/>
        </c:manualLayout>
      </c:layout>
      <c:areaChart>
        <c:grouping val="stacked"/>
        <c:varyColors val="0"/>
        <c:ser>
          <c:idx val="0"/>
          <c:order val="0"/>
          <c:tx>
            <c:v>Regional Australia</c:v>
          </c:tx>
          <c:spPr>
            <a:solidFill>
              <a:srgbClr val="C9DB2F"/>
            </a:solidFill>
            <a:ln>
              <a:noFill/>
            </a:ln>
            <a:effectLst/>
          </c:spPr>
          <c:cat>
            <c:numRef>
              <c:f>'Cumulative Loss Charts (2)'!$A$29:$A$40</c:f>
              <c:numCache>
                <c:formatCode>mmm\-yy</c:formatCode>
                <c:ptCount val="12"/>
                <c:pt idx="0">
                  <c:v>43922</c:v>
                </c:pt>
                <c:pt idx="1">
                  <c:v>43952</c:v>
                </c:pt>
                <c:pt idx="2">
                  <c:v>43983</c:v>
                </c:pt>
                <c:pt idx="3">
                  <c:v>44013</c:v>
                </c:pt>
                <c:pt idx="4">
                  <c:v>44044</c:v>
                </c:pt>
                <c:pt idx="5">
                  <c:v>44075</c:v>
                </c:pt>
                <c:pt idx="6">
                  <c:v>44105</c:v>
                </c:pt>
                <c:pt idx="7">
                  <c:v>44136</c:v>
                </c:pt>
                <c:pt idx="8">
                  <c:v>44166</c:v>
                </c:pt>
                <c:pt idx="9">
                  <c:v>44197</c:v>
                </c:pt>
                <c:pt idx="10">
                  <c:v>44228</c:v>
                </c:pt>
                <c:pt idx="11">
                  <c:v>44256</c:v>
                </c:pt>
              </c:numCache>
            </c:numRef>
          </c:cat>
          <c:val>
            <c:numRef>
              <c:f>'Cumulative Loss Charts (2)'!$L$29:$L$40</c:f>
              <c:numCache>
                <c:formatCode>#,##0.0</c:formatCode>
                <c:ptCount val="12"/>
                <c:pt idx="0">
                  <c:v>3.5960000000000001</c:v>
                </c:pt>
                <c:pt idx="1">
                  <c:v>5.7320000000000002</c:v>
                </c:pt>
                <c:pt idx="2">
                  <c:v>7.1559999999999997</c:v>
                </c:pt>
                <c:pt idx="3">
                  <c:v>8.2479999999999993</c:v>
                </c:pt>
                <c:pt idx="4">
                  <c:v>9.2609999999999992</c:v>
                </c:pt>
                <c:pt idx="5">
                  <c:v>10.648999999999999</c:v>
                </c:pt>
                <c:pt idx="6">
                  <c:v>10.852</c:v>
                </c:pt>
                <c:pt idx="7">
                  <c:v>10.888999999999999</c:v>
                </c:pt>
                <c:pt idx="8">
                  <c:v>10.935</c:v>
                </c:pt>
                <c:pt idx="9">
                  <c:v>10.576000000000001</c:v>
                </c:pt>
                <c:pt idx="10">
                  <c:v>10.207000000000001</c:v>
                </c:pt>
                <c:pt idx="11">
                  <c:v>8.5869999999999997</c:v>
                </c:pt>
              </c:numCache>
            </c:numRef>
          </c:val>
        </c:ser>
        <c:ser>
          <c:idx val="1"/>
          <c:order val="1"/>
          <c:tx>
            <c:v>Capital cities</c:v>
          </c:tx>
          <c:spPr>
            <a:solidFill>
              <a:srgbClr val="007FA3"/>
            </a:solidFill>
            <a:ln w="25400">
              <a:noFill/>
            </a:ln>
            <a:effectLst/>
          </c:spPr>
          <c:cat>
            <c:numRef>
              <c:f>'Cumulative Loss Charts (2)'!$A$29:$A$40</c:f>
              <c:numCache>
                <c:formatCode>mmm\-yy</c:formatCode>
                <c:ptCount val="12"/>
                <c:pt idx="0">
                  <c:v>43922</c:v>
                </c:pt>
                <c:pt idx="1">
                  <c:v>43952</c:v>
                </c:pt>
                <c:pt idx="2">
                  <c:v>43983</c:v>
                </c:pt>
                <c:pt idx="3">
                  <c:v>44013</c:v>
                </c:pt>
                <c:pt idx="4">
                  <c:v>44044</c:v>
                </c:pt>
                <c:pt idx="5">
                  <c:v>44075</c:v>
                </c:pt>
                <c:pt idx="6">
                  <c:v>44105</c:v>
                </c:pt>
                <c:pt idx="7">
                  <c:v>44136</c:v>
                </c:pt>
                <c:pt idx="8">
                  <c:v>44166</c:v>
                </c:pt>
                <c:pt idx="9">
                  <c:v>44197</c:v>
                </c:pt>
                <c:pt idx="10">
                  <c:v>44228</c:v>
                </c:pt>
                <c:pt idx="11">
                  <c:v>44256</c:v>
                </c:pt>
              </c:numCache>
            </c:numRef>
          </c:cat>
          <c:val>
            <c:numRef>
              <c:f>'Cumulative Loss Charts (2)'!$F$29:$F$40</c:f>
              <c:numCache>
                <c:formatCode>#,##0.0</c:formatCode>
                <c:ptCount val="12"/>
                <c:pt idx="0">
                  <c:v>3.399</c:v>
                </c:pt>
                <c:pt idx="1">
                  <c:v>6.0339999999999998</c:v>
                </c:pt>
                <c:pt idx="2">
                  <c:v>8.5950000000000006</c:v>
                </c:pt>
                <c:pt idx="3">
                  <c:v>11.262</c:v>
                </c:pt>
                <c:pt idx="4">
                  <c:v>13.583</c:v>
                </c:pt>
                <c:pt idx="5">
                  <c:v>16.318000000000001</c:v>
                </c:pt>
                <c:pt idx="6">
                  <c:v>19.106999999999999</c:v>
                </c:pt>
                <c:pt idx="7">
                  <c:v>21.27</c:v>
                </c:pt>
                <c:pt idx="8">
                  <c:v>22.381</c:v>
                </c:pt>
                <c:pt idx="9">
                  <c:v>24.260999999999999</c:v>
                </c:pt>
                <c:pt idx="10">
                  <c:v>25.248000000000001</c:v>
                </c:pt>
                <c:pt idx="11">
                  <c:v>24.643000000000001</c:v>
                </c:pt>
              </c:numCache>
            </c:numRef>
          </c:val>
        </c:ser>
        <c:dLbls>
          <c:showLegendKey val="0"/>
          <c:showVal val="0"/>
          <c:showCatName val="0"/>
          <c:showSerName val="0"/>
          <c:showPercent val="0"/>
          <c:showBubbleSize val="0"/>
        </c:dLbls>
        <c:axId val="289947032"/>
        <c:axId val="289941544"/>
      </c:areaChart>
      <c:dateAx>
        <c:axId val="28994703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9941544"/>
        <c:crosses val="autoZero"/>
        <c:auto val="1"/>
        <c:lblOffset val="100"/>
        <c:baseTimeUnit val="months"/>
      </c:dateAx>
      <c:valAx>
        <c:axId val="289941544"/>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9947032"/>
        <c:crosses val="autoZero"/>
        <c:crossBetween val="midCat"/>
      </c:valAx>
      <c:spPr>
        <a:noFill/>
        <a:ln>
          <a:noFill/>
        </a:ln>
        <a:effectLst/>
      </c:spPr>
    </c:plotArea>
    <c:legend>
      <c:legendPos val="b"/>
      <c:layout>
        <c:manualLayout>
          <c:xMode val="edge"/>
          <c:yMode val="edge"/>
          <c:x val="8.6744818812108784E-2"/>
          <c:y val="0.89409667541557303"/>
          <c:w val="0.85095028090938729"/>
          <c:h val="7.812554680664916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'[Summary data Quarter.xlsx]Regional'!$B$38</c:f>
              <c:strCache>
                <c:ptCount val="1"/>
                <c:pt idx="0">
                  <c:v>Trips</c:v>
                </c:pt>
              </c:strCache>
            </c:strRef>
          </c:tx>
          <c:spPr>
            <a:solidFill>
              <a:srgbClr val="007FA3"/>
            </a:solidFill>
            <a:ln w="0">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'[Summary data Quarter.xlsx]Regional'!$A$39:$A$51</c:f>
              <c:strCache>
                <c:ptCount val="13"/>
                <c:pt idx="0">
                  <c:v>Sydney</c:v>
                </c:pt>
                <c:pt idx="1">
                  <c:v>Regional NSW</c:v>
                </c:pt>
                <c:pt idx="2">
                  <c:v>Melbourne</c:v>
                </c:pt>
                <c:pt idx="3">
                  <c:v>Regional VIC</c:v>
                </c:pt>
                <c:pt idx="4">
                  <c:v>Brisbane/Gold Coast</c:v>
                </c:pt>
                <c:pt idx="5">
                  <c:v>Regional QLD</c:v>
                </c:pt>
                <c:pt idx="6">
                  <c:v>Adelaide</c:v>
                </c:pt>
                <c:pt idx="7">
                  <c:v>Regional SA</c:v>
                </c:pt>
                <c:pt idx="8">
                  <c:v>Destination Perth</c:v>
                </c:pt>
                <c:pt idx="9">
                  <c:v>Regional WA</c:v>
                </c:pt>
                <c:pt idx="10">
                  <c:v>TAS</c:v>
                </c:pt>
                <c:pt idx="11">
                  <c:v>NT</c:v>
                </c:pt>
                <c:pt idx="12">
                  <c:v>ACT</c:v>
                </c:pt>
              </c:strCache>
            </c:strRef>
          </c:cat>
          <c:val>
            <c:numRef>
              <c:f>'[Summary data Quarter.xlsx]Regional'!$B$39:$B$51</c:f>
              <c:numCache>
                <c:formatCode>General</c:formatCode>
                <c:ptCount val="13"/>
                <c:pt idx="0">
                  <c:v>-30</c:v>
                </c:pt>
                <c:pt idx="1">
                  <c:v>20</c:v>
                </c:pt>
                <c:pt idx="2">
                  <c:v>-42</c:v>
                </c:pt>
                <c:pt idx="3">
                  <c:v>6</c:v>
                </c:pt>
                <c:pt idx="4">
                  <c:v>9</c:v>
                </c:pt>
                <c:pt idx="5">
                  <c:v>2</c:v>
                </c:pt>
                <c:pt idx="6">
                  <c:v>-25</c:v>
                </c:pt>
                <c:pt idx="7">
                  <c:v>20</c:v>
                </c:pt>
                <c:pt idx="8">
                  <c:v>-18</c:v>
                </c:pt>
                <c:pt idx="9">
                  <c:v>12</c:v>
                </c:pt>
                <c:pt idx="10">
                  <c:v>0</c:v>
                </c:pt>
                <c:pt idx="11">
                  <c:v>-15</c:v>
                </c:pt>
                <c:pt idx="12">
                  <c:v>-2</c:v>
                </c:pt>
              </c:numCache>
            </c:numRef>
          </c:val>
        </c:ser>
        <c:ser>
          <c:idx val="1"/>
          <c:order val="1"/>
          <c:tx>
            <c:strRef>
              <c:f>'[Summary data Quarter.xlsx]Regional'!$C$38</c:f>
              <c:strCache>
                <c:ptCount val="1"/>
                <c:pt idx="0">
                  <c:v>Spend</c:v>
                </c:pt>
              </c:strCache>
            </c:strRef>
          </c:tx>
          <c:spPr>
            <a:solidFill>
              <a:srgbClr val="C9DB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'[Summary data Quarter.xlsx]Regional'!$A$39:$A$51</c:f>
              <c:strCache>
                <c:ptCount val="13"/>
                <c:pt idx="0">
                  <c:v>Sydney</c:v>
                </c:pt>
                <c:pt idx="1">
                  <c:v>Regional NSW</c:v>
                </c:pt>
                <c:pt idx="2">
                  <c:v>Melbourne</c:v>
                </c:pt>
                <c:pt idx="3">
                  <c:v>Regional VIC</c:v>
                </c:pt>
                <c:pt idx="4">
                  <c:v>Brisbane/Gold Coast</c:v>
                </c:pt>
                <c:pt idx="5">
                  <c:v>Regional QLD</c:v>
                </c:pt>
                <c:pt idx="6">
                  <c:v>Adelaide</c:v>
                </c:pt>
                <c:pt idx="7">
                  <c:v>Regional SA</c:v>
                </c:pt>
                <c:pt idx="8">
                  <c:v>Destination Perth</c:v>
                </c:pt>
                <c:pt idx="9">
                  <c:v>Regional WA</c:v>
                </c:pt>
                <c:pt idx="10">
                  <c:v>TAS</c:v>
                </c:pt>
                <c:pt idx="11">
                  <c:v>NT</c:v>
                </c:pt>
                <c:pt idx="12">
                  <c:v>ACT</c:v>
                </c:pt>
              </c:strCache>
            </c:strRef>
          </c:cat>
          <c:val>
            <c:numRef>
              <c:f>'[Summary data Quarter.xlsx]Regional'!$C$39:$C$51</c:f>
              <c:numCache>
                <c:formatCode>General</c:formatCode>
                <c:ptCount val="13"/>
                <c:pt idx="0">
                  <c:v>-33</c:v>
                </c:pt>
                <c:pt idx="1">
                  <c:v>31</c:v>
                </c:pt>
                <c:pt idx="2">
                  <c:v>-52</c:v>
                </c:pt>
                <c:pt idx="3">
                  <c:v>23</c:v>
                </c:pt>
                <c:pt idx="4">
                  <c:v>-1</c:v>
                </c:pt>
                <c:pt idx="5">
                  <c:v>15</c:v>
                </c:pt>
                <c:pt idx="6">
                  <c:v>-29</c:v>
                </c:pt>
                <c:pt idx="7">
                  <c:v>44</c:v>
                </c:pt>
                <c:pt idx="8">
                  <c:v>-33</c:v>
                </c:pt>
                <c:pt idx="9">
                  <c:v>28</c:v>
                </c:pt>
                <c:pt idx="10">
                  <c:v>-13</c:v>
                </c:pt>
                <c:pt idx="11">
                  <c:v>-7</c:v>
                </c:pt>
                <c:pt idx="12">
                  <c:v>-20</c:v>
                </c:pt>
              </c:numCache>
            </c:numRef>
          </c:val>
        </c:ser>
        <c:dLbls>
          <c:showLegendKey val="0"/>
          <c:showVal val="0"/>
          <c:showCatName val="0"/>
          <c:showSerName val="0"/>
          <c:showPercent val="0"/>
          <c:showBubbleSize val="0"/>
        </c:dLbls>
        <c:gapWidth val="86"/>
        <c:overlap val="-30"/>
        <c:axId val="289947816"/>
        <c:axId val="289948208"/>
      </c:barChart>
      <c:catAx>
        <c:axId val="2899478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9948208"/>
        <c:crosses val="autoZero"/>
        <c:auto val="1"/>
        <c:lblAlgn val="ctr"/>
        <c:lblOffset val="100"/>
        <c:noMultiLvlLbl val="0"/>
      </c:catAx>
      <c:valAx>
        <c:axId val="289948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9478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'Stopover Reason'!$B$19</c:f>
              <c:strCache>
                <c:ptCount val="1"/>
                <c:pt idx="0">
                  <c:v>Holiday</c:v>
                </c:pt>
              </c:strCache>
            </c:strRef>
          </c:tx>
          <c:spPr>
            <a:solidFill>
              <a:srgbClr val="007FA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'Stopover Reason'!$A$20:$A$23</c:f>
              <c:strCache>
                <c:ptCount val="4"/>
                <c:pt idx="0">
                  <c:v>Capital cities</c:v>
                </c:pt>
                <c:pt idx="1">
                  <c:v>Interstate</c:v>
                </c:pt>
                <c:pt idx="2">
                  <c:v>Regional</c:v>
                </c:pt>
                <c:pt idx="3">
                  <c:v>Intrastate</c:v>
                </c:pt>
              </c:strCache>
            </c:strRef>
          </c:cat>
          <c:val>
            <c:numRef>
              <c:f>'Stopover Reason'!$B$20:$B$23</c:f>
              <c:numCache>
                <c:formatCode>General</c:formatCode>
                <c:ptCount val="4"/>
                <c:pt idx="0">
                  <c:v>-25</c:v>
                </c:pt>
                <c:pt idx="1">
                  <c:v>-28</c:v>
                </c:pt>
                <c:pt idx="2">
                  <c:v>38</c:v>
                </c:pt>
                <c:pt idx="3">
                  <c:v>51</c:v>
                </c:pt>
              </c:numCache>
            </c:numRef>
          </c:val>
        </c:ser>
        <c:ser>
          <c:idx val="1"/>
          <c:order val="1"/>
          <c:tx>
            <c:strRef>
              <c:f>'Stopover Reason'!$C$19</c:f>
              <c:strCache>
                <c:ptCount val="1"/>
                <c:pt idx="0">
                  <c:v>VFR</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'Stopover Reason'!$A$20:$A$23</c:f>
              <c:strCache>
                <c:ptCount val="4"/>
                <c:pt idx="0">
                  <c:v>Capital cities</c:v>
                </c:pt>
                <c:pt idx="1">
                  <c:v>Interstate</c:v>
                </c:pt>
                <c:pt idx="2">
                  <c:v>Regional</c:v>
                </c:pt>
                <c:pt idx="3">
                  <c:v>Intrastate</c:v>
                </c:pt>
              </c:strCache>
            </c:strRef>
          </c:cat>
          <c:val>
            <c:numRef>
              <c:f>'Stopover Reason'!$C$20:$C$23</c:f>
              <c:numCache>
                <c:formatCode>General</c:formatCode>
                <c:ptCount val="4"/>
                <c:pt idx="0">
                  <c:v>-6</c:v>
                </c:pt>
                <c:pt idx="1">
                  <c:v>-8</c:v>
                </c:pt>
                <c:pt idx="2">
                  <c:v>10</c:v>
                </c:pt>
                <c:pt idx="3">
                  <c:v>13</c:v>
                </c:pt>
              </c:numCache>
            </c:numRef>
          </c:val>
        </c:ser>
        <c:ser>
          <c:idx val="2"/>
          <c:order val="2"/>
          <c:tx>
            <c:strRef>
              <c:f>'Stopover Reason'!$D$19</c:f>
              <c:strCache>
                <c:ptCount val="1"/>
                <c:pt idx="0">
                  <c:v>Business</c:v>
                </c:pt>
              </c:strCache>
            </c:strRef>
          </c:tx>
          <c:spPr>
            <a:solidFill>
              <a:srgbClr val="C9DB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'Stopover Reason'!$A$20:$A$23</c:f>
              <c:strCache>
                <c:ptCount val="4"/>
                <c:pt idx="0">
                  <c:v>Capital cities</c:v>
                </c:pt>
                <c:pt idx="1">
                  <c:v>Interstate</c:v>
                </c:pt>
                <c:pt idx="2">
                  <c:v>Regional</c:v>
                </c:pt>
                <c:pt idx="3">
                  <c:v>Intrastate</c:v>
                </c:pt>
              </c:strCache>
            </c:strRef>
          </c:cat>
          <c:val>
            <c:numRef>
              <c:f>'Stopover Reason'!$D$20:$D$23</c:f>
              <c:numCache>
                <c:formatCode>General</c:formatCode>
                <c:ptCount val="4"/>
                <c:pt idx="0">
                  <c:v>-55</c:v>
                </c:pt>
                <c:pt idx="1">
                  <c:v>-51</c:v>
                </c:pt>
                <c:pt idx="2">
                  <c:v>-2</c:v>
                </c:pt>
                <c:pt idx="3">
                  <c:v>-8</c:v>
                </c:pt>
              </c:numCache>
            </c:numRef>
          </c:val>
        </c:ser>
        <c:dLbls>
          <c:showLegendKey val="0"/>
          <c:showVal val="0"/>
          <c:showCatName val="0"/>
          <c:showSerName val="0"/>
          <c:showPercent val="0"/>
          <c:showBubbleSize val="0"/>
        </c:dLbls>
        <c:gapWidth val="219"/>
        <c:overlap val="-27"/>
        <c:axId val="289943112"/>
        <c:axId val="289941152"/>
      </c:barChart>
      <c:catAx>
        <c:axId val="28994311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941152"/>
        <c:crosses val="autoZero"/>
        <c:auto val="1"/>
        <c:lblAlgn val="ctr"/>
        <c:lblOffset val="100"/>
        <c:noMultiLvlLbl val="0"/>
      </c:catAx>
      <c:valAx>
        <c:axId val="28994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9431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Accomm!$B$2</c:f>
              <c:strCache>
                <c:ptCount val="1"/>
                <c:pt idx="0">
                  <c:v>Hotel and Resort</c:v>
                </c:pt>
              </c:strCache>
            </c:strRef>
          </c:tx>
          <c:spPr>
            <a:solidFill>
              <a:srgbClr val="007FA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Accomm!$C$1:$D$1</c:f>
              <c:strCache>
                <c:ptCount val="2"/>
                <c:pt idx="0">
                  <c:v>Capital cities</c:v>
                </c:pt>
                <c:pt idx="1">
                  <c:v>Regional</c:v>
                </c:pt>
              </c:strCache>
            </c:strRef>
          </c:cat>
          <c:val>
            <c:numRef>
              <c:f>Accomm!$C$2:$D$2</c:f>
              <c:numCache>
                <c:formatCode>General</c:formatCode>
                <c:ptCount val="2"/>
                <c:pt idx="0">
                  <c:v>-31</c:v>
                </c:pt>
                <c:pt idx="1">
                  <c:v>35</c:v>
                </c:pt>
              </c:numCache>
            </c:numRef>
          </c:val>
        </c:ser>
        <c:ser>
          <c:idx val="1"/>
          <c:order val="1"/>
          <c:tx>
            <c:strRef>
              <c:f>Accomm!$B$3</c:f>
              <c:strCache>
                <c:ptCount val="1"/>
                <c:pt idx="0">
                  <c:v>Rented Apartment/Unit</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Accomm!$C$1:$D$1</c:f>
              <c:strCache>
                <c:ptCount val="2"/>
                <c:pt idx="0">
                  <c:v>Capital cities</c:v>
                </c:pt>
                <c:pt idx="1">
                  <c:v>Regional</c:v>
                </c:pt>
              </c:strCache>
            </c:strRef>
          </c:cat>
          <c:val>
            <c:numRef>
              <c:f>Accomm!$C$3:$D$3</c:f>
              <c:numCache>
                <c:formatCode>General</c:formatCode>
                <c:ptCount val="2"/>
                <c:pt idx="0">
                  <c:v>-17</c:v>
                </c:pt>
                <c:pt idx="1">
                  <c:v>36</c:v>
                </c:pt>
              </c:numCache>
            </c:numRef>
          </c:val>
        </c:ser>
        <c:ser>
          <c:idx val="2"/>
          <c:order val="2"/>
          <c:tx>
            <c:strRef>
              <c:f>Accomm!$B$4</c:f>
              <c:strCache>
                <c:ptCount val="1"/>
                <c:pt idx="0">
                  <c:v>Caravan Park or Camping</c:v>
                </c:pt>
              </c:strCache>
            </c:strRef>
          </c:tx>
          <c:spPr>
            <a:solidFill>
              <a:srgbClr val="C9DB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Accomm!$C$1:$D$1</c:f>
              <c:strCache>
                <c:ptCount val="2"/>
                <c:pt idx="0">
                  <c:v>Capital cities</c:v>
                </c:pt>
                <c:pt idx="1">
                  <c:v>Regional</c:v>
                </c:pt>
              </c:strCache>
            </c:strRef>
          </c:cat>
          <c:val>
            <c:numRef>
              <c:f>Accomm!$C$4:$D$4</c:f>
              <c:numCache>
                <c:formatCode>General</c:formatCode>
                <c:ptCount val="2"/>
                <c:pt idx="0">
                  <c:v>-18</c:v>
                </c:pt>
                <c:pt idx="1">
                  <c:v>19</c:v>
                </c:pt>
              </c:numCache>
            </c:numRef>
          </c:val>
        </c:ser>
        <c:dLbls>
          <c:showLegendKey val="0"/>
          <c:showVal val="0"/>
          <c:showCatName val="0"/>
          <c:showSerName val="0"/>
          <c:showPercent val="0"/>
          <c:showBubbleSize val="0"/>
        </c:dLbls>
        <c:gapWidth val="219"/>
        <c:overlap val="-27"/>
        <c:axId val="289945856"/>
        <c:axId val="289941936"/>
      </c:barChart>
      <c:catAx>
        <c:axId val="28994585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941936"/>
        <c:crosses val="autoZero"/>
        <c:auto val="1"/>
        <c:lblAlgn val="ctr"/>
        <c:lblOffset val="100"/>
        <c:noMultiLvlLbl val="0"/>
      </c:catAx>
      <c:valAx>
        <c:axId val="28994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945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RA_Style_2013">
  <a:themeElements>
    <a:clrScheme name="TRA 2013 Style">
      <a:dk1>
        <a:sysClr val="windowText" lastClr="000000"/>
      </a:dk1>
      <a:lt1>
        <a:sysClr val="window" lastClr="FFFFFF"/>
      </a:lt1>
      <a:dk2>
        <a:srgbClr val="008BB6"/>
      </a:dk2>
      <a:lt2>
        <a:srgbClr val="DEDBD5"/>
      </a:lt2>
      <a:accent1>
        <a:srgbClr val="F4D450"/>
      </a:accent1>
      <a:accent2>
        <a:srgbClr val="F04B54"/>
      </a:accent2>
      <a:accent3>
        <a:srgbClr val="D4D71E"/>
      </a:accent3>
      <a:accent4>
        <a:srgbClr val="008BB6"/>
      </a:accent4>
      <a:accent5>
        <a:srgbClr val="ACA6A2"/>
      </a:accent5>
      <a:accent6>
        <a:srgbClr val="6AB2A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7F09D-6F4E-4602-99F5-0C5825D9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TRA_SimpleWordTemplate_March2014</Template>
  <TotalTime>336</TotalTime>
  <Pages>7</Pages>
  <Words>1465</Words>
  <Characters>8351</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Document title</vt:lpstr>
      <vt:lpstr>    </vt:lpstr>
      <vt:lpstr>    Year Ending MARCH 2021</vt:lpstr>
      <vt:lpstr>    MARCH QUARTER 2021</vt:lpstr>
      <vt:lpstr>YEAR ENDING MARCH 2021</vt:lpstr>
      <vt:lpstr>MARCH QUARTER 2021</vt:lpstr>
      <vt:lpstr>        </vt:lpstr>
      <vt:lpstr>        INTERSTATE and INTRASTATE TRAVEL</vt:lpstr>
      <vt:lpstr>        Capital Cities and Regional Travel</vt:lpstr>
      <vt:lpstr>        REASON FOR TRAVEL</vt:lpstr>
      <vt:lpstr>        TRAVEL MODE</vt:lpstr>
      <vt:lpstr>        AccomModation </vt:lpstr>
      <vt:lpstr>        </vt:lpstr>
      <vt:lpstr>        STATES AND TERRITORIES </vt:lpstr>
    </vt:vector>
  </TitlesOfParts>
  <Company>Department of the Prime Minister and Cabinet</Company>
  <LinksUpToDate>false</LinksUpToDate>
  <CharactersWithSpaces>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Andrea-Seselja (Canberra)</dc:creator>
  <cp:lastModifiedBy>Jessica-BarrittEyles</cp:lastModifiedBy>
  <cp:revision>15</cp:revision>
  <cp:lastPrinted>2021-03-19T00:51:00Z</cp:lastPrinted>
  <dcterms:created xsi:type="dcterms:W3CDTF">2021-06-09T09:17:00Z</dcterms:created>
  <dcterms:modified xsi:type="dcterms:W3CDTF">2021-06-21T07:34:00Z</dcterms:modified>
</cp:coreProperties>
</file>