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0B73" w14:textId="77777777" w:rsidR="00544F35" w:rsidRPr="00D204C3" w:rsidRDefault="0010593E" w:rsidP="00223B43">
      <w:pPr>
        <w:pStyle w:val="Spacer-cover"/>
      </w:pPr>
      <w:r w:rsidRPr="00D204C3">
        <w:rPr>
          <w:noProof/>
          <w:lang w:eastAsia="en-AU"/>
        </w:rPr>
        <w:drawing>
          <wp:anchor distT="0" distB="0" distL="114300" distR="114300" simplePos="0" relativeHeight="251660288" behindDoc="1" locked="1" layoutInCell="1" allowOverlap="1" wp14:anchorId="39904319" wp14:editId="52B34E80">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544F35" w:rsidRPr="00D204C3">
        <w:rPr>
          <w:noProof/>
          <w:lang w:eastAsia="en-AU"/>
        </w:rPr>
        <w:drawing>
          <wp:anchor distT="0" distB="0" distL="114300" distR="114300" simplePos="0" relativeHeight="251658240" behindDoc="1" locked="1" layoutInCell="1" allowOverlap="1" wp14:anchorId="171B8711" wp14:editId="39423628">
            <wp:simplePos x="0" y="0"/>
            <wp:positionH relativeFrom="page">
              <wp:posOffset>288290</wp:posOffset>
            </wp:positionH>
            <wp:positionV relativeFrom="page">
              <wp:posOffset>288290</wp:posOffset>
            </wp:positionV>
            <wp:extent cx="6984000" cy="2232000"/>
            <wp:effectExtent l="0" t="0" r="762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16A51BAA" w14:textId="3566F32E" w:rsidR="00B96FF7" w:rsidRPr="00D204C3" w:rsidRDefault="00BA2A4E" w:rsidP="00223B43">
      <w:pPr>
        <w:pStyle w:val="Title"/>
      </w:pPr>
      <w:r>
        <w:t>N</w:t>
      </w:r>
      <w:r w:rsidR="00E2779A">
        <w:t>ATIONAL VISITOR SURVEY RESULTS MARCH QUARTER 2022</w:t>
      </w:r>
    </w:p>
    <w:p w14:paraId="5722F6EA" w14:textId="77777777" w:rsidR="00DA3089" w:rsidRPr="00D204C3" w:rsidRDefault="002340D4" w:rsidP="00F73C0E">
      <w:pPr>
        <w:pStyle w:val="Date"/>
      </w:pPr>
    </w:p>
    <w:p w14:paraId="736744A6" w14:textId="77777777" w:rsidR="00165E47" w:rsidRPr="00D204C3" w:rsidRDefault="00165E47" w:rsidP="00572276">
      <w:pPr>
        <w:pStyle w:val="Heading2"/>
        <w:rPr>
          <w:sz w:val="2"/>
          <w:szCs w:val="2"/>
        </w:rPr>
      </w:pPr>
    </w:p>
    <w:p w14:paraId="5BC185BF" w14:textId="0B5555F9" w:rsidR="00165E47" w:rsidRPr="00D204C3" w:rsidRDefault="00165E47" w:rsidP="007C07F4">
      <w:pPr>
        <w:pStyle w:val="Heading2"/>
      </w:pPr>
      <w:r w:rsidRPr="00D204C3">
        <w:t xml:space="preserve">Year </w:t>
      </w:r>
      <w:r w:rsidR="002D2648" w:rsidRPr="00D204C3">
        <w:t>e</w:t>
      </w:r>
      <w:r w:rsidRPr="00D204C3">
        <w:t xml:space="preserve">nding </w:t>
      </w:r>
      <w:r w:rsidR="00477089">
        <w:t>March 2022</w:t>
      </w:r>
    </w:p>
    <w:p w14:paraId="7F890DB9" w14:textId="6B53E9EE" w:rsidR="00E44EBC" w:rsidRDefault="00663FCF" w:rsidP="00374CF6">
      <w:r>
        <w:rPr>
          <w:noProof/>
        </w:rPr>
        <w:drawing>
          <wp:inline distT="0" distB="0" distL="0" distR="0" wp14:anchorId="0D4250F1" wp14:editId="76A39B46">
            <wp:extent cx="6153516" cy="628650"/>
            <wp:effectExtent l="0" t="0" r="0" b="0"/>
            <wp:docPr id="13" name="Picture 13" descr="A banner showing key results for the year ending March 2022.&#10;&#10;For the year ending March 2022 overnight spend was $63.3 billion, down 20 per cent on year ending March 2020. Overnight trips were 82.1 million, down 27 per cent on year ending March 2020, nights were 318.3 million, down 21 per cent on year ending Marc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anner showing key results for the year ending March 2022.&#10;&#10;For the year ending March 2022 overnight spend was $63.3 billion, down 20 per cent on year ending March 2020. Overnight trips were 82.1 million, down 27 per cent on year ending March 2020, nights were 318.3 million, down 21 per cent on year ending March 2020."/>
                    <pic:cNvPicPr/>
                  </pic:nvPicPr>
                  <pic:blipFill>
                    <a:blip r:embed="rId15"/>
                    <a:stretch>
                      <a:fillRect/>
                    </a:stretch>
                  </pic:blipFill>
                  <pic:spPr>
                    <a:xfrm>
                      <a:off x="0" y="0"/>
                      <a:ext cx="6166543" cy="629981"/>
                    </a:xfrm>
                    <a:prstGeom prst="rect">
                      <a:avLst/>
                    </a:prstGeom>
                  </pic:spPr>
                </pic:pic>
              </a:graphicData>
            </a:graphic>
          </wp:inline>
        </w:drawing>
      </w:r>
    </w:p>
    <w:p w14:paraId="464A643A" w14:textId="6BDF88D2" w:rsidR="00165E47" w:rsidRPr="00D204C3" w:rsidRDefault="00477089" w:rsidP="00165E47">
      <w:pPr>
        <w:pStyle w:val="Heading2"/>
      </w:pPr>
      <w:r>
        <w:t>March</w:t>
      </w:r>
      <w:r w:rsidR="00165E47" w:rsidRPr="00D204C3">
        <w:t xml:space="preserve"> </w:t>
      </w:r>
      <w:r w:rsidR="002D2648" w:rsidRPr="00D204C3">
        <w:t>q</w:t>
      </w:r>
      <w:r w:rsidR="00165E47" w:rsidRPr="00D204C3">
        <w:t>uarter 202</w:t>
      </w:r>
      <w:r>
        <w:t>2</w:t>
      </w:r>
    </w:p>
    <w:p w14:paraId="33127C8A" w14:textId="19F82BFD" w:rsidR="0098217F" w:rsidRDefault="0098217F" w:rsidP="00374CF6">
      <w:r>
        <w:rPr>
          <w:noProof/>
        </w:rPr>
        <w:drawing>
          <wp:inline distT="0" distB="0" distL="0" distR="0" wp14:anchorId="27370FD4" wp14:editId="1D1C6ADF">
            <wp:extent cx="6158345" cy="666750"/>
            <wp:effectExtent l="0" t="0" r="0" b="0"/>
            <wp:docPr id="15" name="Picture 15" descr="A banner showing key results for the 2022 March quarter.&#10;&#10;For the 2022 March quarter overnight spend was $20.5 billion, up 14 per cent on 2020. Overnight trips were 24.6 million, up 1 per cent on 2020, nights were 99.2 million, up 3 per cent o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anner showing key results for the 2022 March quarter.&#10;&#10;For the 2022 March quarter overnight spend was $20.5 billion, up 14 per cent on 2020. Overnight trips were 24.6 million, up 1 per cent on 2020, nights were 99.2 million, up 3 per cent on 2020."/>
                    <pic:cNvPicPr/>
                  </pic:nvPicPr>
                  <pic:blipFill>
                    <a:blip r:embed="rId16"/>
                    <a:stretch>
                      <a:fillRect/>
                    </a:stretch>
                  </pic:blipFill>
                  <pic:spPr>
                    <a:xfrm>
                      <a:off x="0" y="0"/>
                      <a:ext cx="6167582" cy="667750"/>
                    </a:xfrm>
                    <a:prstGeom prst="rect">
                      <a:avLst/>
                    </a:prstGeom>
                  </pic:spPr>
                </pic:pic>
              </a:graphicData>
            </a:graphic>
          </wp:inline>
        </w:drawing>
      </w:r>
    </w:p>
    <w:p w14:paraId="0192E591" w14:textId="77777777" w:rsidR="009A0B20" w:rsidRDefault="009A0B20" w:rsidP="009A0B20"/>
    <w:p w14:paraId="0F96ABF2" w14:textId="596D79B7" w:rsidR="00477089" w:rsidRDefault="00477089" w:rsidP="00E31522">
      <w:pPr>
        <w:pStyle w:val="Heading2"/>
      </w:pPr>
      <w:r w:rsidRPr="00477089">
        <w:t xml:space="preserve">March tourism results show </w:t>
      </w:r>
      <w:r>
        <w:t xml:space="preserve">gradual </w:t>
      </w:r>
      <w:r w:rsidRPr="00477089">
        <w:t>recovery from COVID-19</w:t>
      </w:r>
    </w:p>
    <w:p w14:paraId="795FEB31" w14:textId="4EC289D2" w:rsidR="009A0B20" w:rsidRDefault="00491F26" w:rsidP="00477089">
      <w:r>
        <w:t xml:space="preserve">The continued easing of border restrictions, health regulations and lockdowns </w:t>
      </w:r>
      <w:r w:rsidR="00F06DC6">
        <w:t>drove</w:t>
      </w:r>
      <w:r>
        <w:t xml:space="preserve"> an increase in travel in the March quarter 2022. When compared to </w:t>
      </w:r>
      <w:r w:rsidRPr="009A0B20">
        <w:t xml:space="preserve">the March quarter of </w:t>
      </w:r>
      <w:r w:rsidR="009A0B20" w:rsidRPr="009A0B20">
        <w:t>2020</w:t>
      </w:r>
      <w:r w:rsidRPr="009A0B20">
        <w:t xml:space="preserve"> (pre-pandemic)</w:t>
      </w:r>
      <w:r w:rsidR="003C3EE7" w:rsidRPr="009A0B20">
        <w:t>,</w:t>
      </w:r>
      <w:r w:rsidR="009A0B20">
        <w:t xml:space="preserve"> overnight trips and nights increased by 1% and 3% respectively. Most notably, spend exceeded pre-pandemic levels by 14% or $2.6 billion.</w:t>
      </w:r>
      <w:r w:rsidR="00F06DC6">
        <w:t xml:space="preserve"> Higher vaccination rates</w:t>
      </w:r>
      <w:r w:rsidR="00D01BF8">
        <w:t>,</w:t>
      </w:r>
      <w:r w:rsidR="00F06DC6">
        <w:t xml:space="preserve"> the move towards ‘living with COVID’ </w:t>
      </w:r>
      <w:r w:rsidR="00D01BF8">
        <w:t>and</w:t>
      </w:r>
      <w:r w:rsidR="00F06DC6">
        <w:t xml:space="preserve"> the peak holiday season over the December-January period result</w:t>
      </w:r>
      <w:r w:rsidR="00D670F5">
        <w:t>ed</w:t>
      </w:r>
      <w:r w:rsidR="00F06DC6">
        <w:t xml:space="preserve"> in an increase in trips returned from in January.</w:t>
      </w:r>
    </w:p>
    <w:p w14:paraId="02FC8CB5" w14:textId="6614C02B" w:rsidR="0061300D" w:rsidRDefault="00D670F5" w:rsidP="001C43A2">
      <w:pPr>
        <w:spacing w:after="240"/>
      </w:pPr>
      <w:r w:rsidRPr="00D670F5">
        <w:t>The general upswing in the domestic visitor economy is expected to continue but may not be consistent month-to-month. As an example, the overnight domestic trip incidence rate (a forward-looking travel indicator) for April 2022 was marginally lower than for April 2021, while the May 2022 trip incidence rate was higher than 2021 (Figure 1)</w:t>
      </w:r>
      <w:r w:rsidR="005F7D19">
        <w:t>.</w:t>
      </w:r>
    </w:p>
    <w:p w14:paraId="63BEE887" w14:textId="532B39A8" w:rsidR="00165E47" w:rsidRPr="00D204C3" w:rsidRDefault="00165E47" w:rsidP="007C07F4">
      <w:r w:rsidRPr="00D204C3">
        <w:rPr>
          <w:b/>
          <w:bCs/>
        </w:rPr>
        <w:lastRenderedPageBreak/>
        <w:t>Figure</w:t>
      </w:r>
      <w:r w:rsidR="00750D77" w:rsidRPr="00D204C3">
        <w:rPr>
          <w:b/>
          <w:bCs/>
        </w:rPr>
        <w:t xml:space="preserve"> 1.</w:t>
      </w:r>
      <w:r w:rsidR="00750D77" w:rsidRPr="00D204C3">
        <w:t xml:space="preserve"> Domestic overnight trips and trip rates</w:t>
      </w:r>
      <w:r w:rsidR="00340D9C" w:rsidRPr="00D204C3">
        <w:t>,</w:t>
      </w:r>
      <w:r w:rsidR="00750D77" w:rsidRPr="00D204C3">
        <w:t xml:space="preserve"> March 2020 to </w:t>
      </w:r>
      <w:r w:rsidR="005F7D19">
        <w:t>May</w:t>
      </w:r>
      <w:r w:rsidR="00FA2422">
        <w:t xml:space="preserve"> </w:t>
      </w:r>
      <w:r w:rsidR="00750D77" w:rsidRPr="00D204C3">
        <w:t>202</w:t>
      </w:r>
      <w:r w:rsidR="005F7D19">
        <w:t>2</w:t>
      </w:r>
      <w:r w:rsidR="00E04B0C" w:rsidRPr="00FA2422">
        <w:rPr>
          <w:vertAlign w:val="superscript"/>
        </w:rPr>
        <w:t>1</w:t>
      </w:r>
      <w:r w:rsidR="00B51C7B" w:rsidRPr="00D204C3">
        <w:rPr>
          <w:noProof/>
        </w:rPr>
        <w:t xml:space="preserve"> </w:t>
      </w:r>
      <w:r w:rsidR="00A5786C" w:rsidRPr="00A5786C">
        <w:rPr>
          <w:noProof/>
        </w:rPr>
        <w:t xml:space="preserve"> </w:t>
      </w:r>
      <w:r w:rsidR="00A5786C">
        <w:rPr>
          <w:noProof/>
        </w:rPr>
        <w:drawing>
          <wp:inline distT="0" distB="0" distL="0" distR="0" wp14:anchorId="5CD635F0" wp14:editId="4AFF337D">
            <wp:extent cx="6496050" cy="3457575"/>
            <wp:effectExtent l="0" t="0" r="0" b="0"/>
            <wp:docPr id="3" name="Chart 3" descr="The chart illustrates the number of domestic overnight trips taken by month from March 2020 to March 2022. The chart also illustrates the trip rate for NVS respondents from March 2020 to March 2022. &#10;&#10;The chart shows that the trip rate follows a similar pattern to the number of domestic overnight trips. As the trip rate data is available two months in advance of the overnight trips data it can provide insight for where overnight trips are likely to head in April and May 2022.&#10;&#10;There were 6 million domestic overnight trips in March 2020, this dropped significantly to under 2 million in April 2020. This then increased gradually until May 2021 where it peaked at approximately 10 million overnight trips. There was then a gradual decline in trips until reaching just under 4 million trips in August and September 2021. Following that, the overnight trips continued to increase gradually. In March 2022 where were approximately 8.3 million overnight trips.&#10;&#10;The trip rate followed a similar pattern,  in March 2020, almost 25 per cent of NVS respondents reported taking one or more trips in the preceding 28 days. This dropped significantly in April and May of 2020 to between 5 and 10 per cent of respondents reporting taking a trip in the reference period. From there the trip rate gradually increased until peaking in April 2021 with just over 30 per cent of respondents taking at least one overnight trip. This then gradually declined until reaching 10 per cent in September 2021. There was then a sharp improvement in trip rates, reaching 32.18% in May 2022. This indicates that this trend is likely to be observed in the  April and May 2022 overnight trips data once this becomes available.&#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866E90" w14:textId="1077F464" w:rsidR="002D2648" w:rsidRPr="00827F3F" w:rsidRDefault="00C0062D" w:rsidP="002D2648">
      <w:pPr>
        <w:pStyle w:val="Default"/>
        <w:rPr>
          <w:rStyle w:val="Emphasis"/>
          <w:sz w:val="20"/>
          <w:szCs w:val="20"/>
        </w:rPr>
      </w:pPr>
      <w:proofErr w:type="gramStart"/>
      <w:r w:rsidRPr="00827F3F">
        <w:rPr>
          <w:rStyle w:val="Emphasis"/>
          <w:sz w:val="20"/>
          <w:szCs w:val="20"/>
        </w:rPr>
        <w:t xml:space="preserve">1  </w:t>
      </w:r>
      <w:r w:rsidR="002D2648" w:rsidRPr="00827F3F">
        <w:rPr>
          <w:rStyle w:val="Emphasis"/>
          <w:sz w:val="20"/>
          <w:szCs w:val="20"/>
        </w:rPr>
        <w:t>The</w:t>
      </w:r>
      <w:proofErr w:type="gramEnd"/>
      <w:r w:rsidR="002D2648" w:rsidRPr="00827F3F">
        <w:rPr>
          <w:rStyle w:val="Emphasis"/>
          <w:sz w:val="20"/>
          <w:szCs w:val="20"/>
        </w:rPr>
        <w:t xml:space="preserve"> trip rate</w:t>
      </w:r>
      <w:r w:rsidR="00C736CD" w:rsidRPr="00827F3F">
        <w:rPr>
          <w:rStyle w:val="Emphasis"/>
          <w:sz w:val="20"/>
          <w:szCs w:val="20"/>
        </w:rPr>
        <w:t xml:space="preserve"> reports whether or not a respondent has taken a trip in the past four weeks. The trip rate of </w:t>
      </w:r>
      <w:r w:rsidR="005F7D19">
        <w:rPr>
          <w:rStyle w:val="Emphasis"/>
          <w:sz w:val="20"/>
          <w:szCs w:val="20"/>
        </w:rPr>
        <w:t>32.18</w:t>
      </w:r>
      <w:r w:rsidR="00C736CD" w:rsidRPr="00827F3F">
        <w:rPr>
          <w:rStyle w:val="Emphasis"/>
          <w:sz w:val="20"/>
          <w:szCs w:val="20"/>
        </w:rPr>
        <w:t xml:space="preserve">% for </w:t>
      </w:r>
      <w:r w:rsidR="005F7D19">
        <w:rPr>
          <w:rStyle w:val="Emphasis"/>
          <w:sz w:val="20"/>
          <w:szCs w:val="20"/>
        </w:rPr>
        <w:t>May</w:t>
      </w:r>
      <w:r w:rsidR="00C736CD" w:rsidRPr="00827F3F">
        <w:rPr>
          <w:rStyle w:val="Emphasis"/>
          <w:sz w:val="20"/>
          <w:szCs w:val="20"/>
        </w:rPr>
        <w:t xml:space="preserve"> indicates </w:t>
      </w:r>
      <w:r w:rsidR="00D63C9B" w:rsidRPr="00827F3F">
        <w:rPr>
          <w:rStyle w:val="Emphasis"/>
          <w:sz w:val="20"/>
          <w:szCs w:val="20"/>
        </w:rPr>
        <w:t>a high level of NVS respondents</w:t>
      </w:r>
      <w:r w:rsidR="002D2648" w:rsidRPr="00827F3F">
        <w:rPr>
          <w:rStyle w:val="Emphasis"/>
          <w:sz w:val="20"/>
          <w:szCs w:val="20"/>
        </w:rPr>
        <w:t xml:space="preserve"> reported taking one or more overnight trips in the preceding 28 days (the reference period). The</w:t>
      </w:r>
      <w:r w:rsidR="00D63C9B" w:rsidRPr="00827F3F">
        <w:rPr>
          <w:rStyle w:val="Emphasis"/>
          <w:sz w:val="20"/>
          <w:szCs w:val="20"/>
        </w:rPr>
        <w:t xml:space="preserve"> </w:t>
      </w:r>
      <w:r w:rsidR="002D2648" w:rsidRPr="00827F3F">
        <w:rPr>
          <w:rStyle w:val="Emphasis"/>
          <w:sz w:val="20"/>
          <w:szCs w:val="20"/>
        </w:rPr>
        <w:t xml:space="preserve">return date will have been in </w:t>
      </w:r>
      <w:r w:rsidR="005F7D19">
        <w:rPr>
          <w:rStyle w:val="Emphasis"/>
          <w:sz w:val="20"/>
          <w:szCs w:val="20"/>
        </w:rPr>
        <w:t>April</w:t>
      </w:r>
      <w:r w:rsidR="00D63C9B" w:rsidRPr="00827F3F">
        <w:rPr>
          <w:rStyle w:val="Emphasis"/>
          <w:sz w:val="20"/>
          <w:szCs w:val="20"/>
        </w:rPr>
        <w:t xml:space="preserve"> 202</w:t>
      </w:r>
      <w:r w:rsidR="005F7D19">
        <w:rPr>
          <w:rStyle w:val="Emphasis"/>
          <w:sz w:val="20"/>
          <w:szCs w:val="20"/>
        </w:rPr>
        <w:t>2</w:t>
      </w:r>
      <w:r w:rsidR="00D63C9B" w:rsidRPr="00827F3F">
        <w:rPr>
          <w:rStyle w:val="Emphasis"/>
          <w:sz w:val="20"/>
          <w:szCs w:val="20"/>
        </w:rPr>
        <w:t xml:space="preserve"> </w:t>
      </w:r>
      <w:r w:rsidR="002D2648" w:rsidRPr="00827F3F">
        <w:rPr>
          <w:rStyle w:val="Emphasis"/>
          <w:sz w:val="20"/>
          <w:szCs w:val="20"/>
        </w:rPr>
        <w:t>for some of these trips</w:t>
      </w:r>
      <w:r w:rsidR="00D63C9B" w:rsidRPr="00827F3F">
        <w:rPr>
          <w:rStyle w:val="Emphasis"/>
          <w:sz w:val="20"/>
          <w:szCs w:val="20"/>
        </w:rPr>
        <w:t xml:space="preserve"> reported in </w:t>
      </w:r>
      <w:r w:rsidR="005F7D19">
        <w:rPr>
          <w:rStyle w:val="Emphasis"/>
          <w:sz w:val="20"/>
          <w:szCs w:val="20"/>
        </w:rPr>
        <w:t>May</w:t>
      </w:r>
      <w:r w:rsidR="002D2648" w:rsidRPr="00827F3F">
        <w:rPr>
          <w:rStyle w:val="Emphasis"/>
          <w:sz w:val="20"/>
          <w:szCs w:val="20"/>
        </w:rPr>
        <w:t xml:space="preserve">. </w:t>
      </w:r>
    </w:p>
    <w:p w14:paraId="632F0C87" w14:textId="77777777" w:rsidR="002D2648" w:rsidRPr="00827F3F" w:rsidRDefault="002D2648" w:rsidP="002D2648">
      <w:pPr>
        <w:pStyle w:val="Default"/>
        <w:rPr>
          <w:rStyle w:val="Emphasis"/>
          <w:sz w:val="20"/>
          <w:szCs w:val="20"/>
        </w:rPr>
      </w:pPr>
    </w:p>
    <w:p w14:paraId="42313527" w14:textId="22258654" w:rsidR="002D2648" w:rsidRPr="00827F3F" w:rsidRDefault="002D2648" w:rsidP="002D2648">
      <w:pPr>
        <w:pStyle w:val="Default"/>
        <w:rPr>
          <w:rStyle w:val="Emphasis"/>
          <w:sz w:val="20"/>
          <w:szCs w:val="20"/>
        </w:rPr>
      </w:pPr>
      <w:r w:rsidRPr="00827F3F">
        <w:rPr>
          <w:rStyle w:val="Emphasis"/>
          <w:sz w:val="20"/>
          <w:szCs w:val="20"/>
        </w:rPr>
        <w:t xml:space="preserve">The trip estimate of </w:t>
      </w:r>
      <w:r w:rsidR="00A50959" w:rsidRPr="00827F3F">
        <w:rPr>
          <w:rStyle w:val="Emphasis"/>
          <w:sz w:val="20"/>
          <w:szCs w:val="20"/>
        </w:rPr>
        <w:t>8.</w:t>
      </w:r>
      <w:r w:rsidR="005F7D19">
        <w:rPr>
          <w:rStyle w:val="Emphasis"/>
          <w:sz w:val="20"/>
          <w:szCs w:val="20"/>
        </w:rPr>
        <w:t>3</w:t>
      </w:r>
      <w:r w:rsidRPr="00827F3F">
        <w:rPr>
          <w:rStyle w:val="Emphasis"/>
          <w:sz w:val="20"/>
          <w:szCs w:val="20"/>
        </w:rPr>
        <w:t xml:space="preserve"> million for the month of </w:t>
      </w:r>
      <w:r w:rsidR="005F7D19">
        <w:rPr>
          <w:rStyle w:val="Emphasis"/>
          <w:sz w:val="20"/>
          <w:szCs w:val="20"/>
        </w:rPr>
        <w:t>March</w:t>
      </w:r>
      <w:r w:rsidRPr="00827F3F">
        <w:rPr>
          <w:rStyle w:val="Emphasis"/>
          <w:sz w:val="20"/>
          <w:szCs w:val="20"/>
        </w:rPr>
        <w:t xml:space="preserve"> refers to overnight trips returned from in that month.</w:t>
      </w:r>
    </w:p>
    <w:p w14:paraId="2194E98D" w14:textId="49CCE4B3" w:rsidR="007E331A" w:rsidRDefault="007E331A" w:rsidP="007C07F4">
      <w:pPr>
        <w:pStyle w:val="Heading2"/>
      </w:pPr>
      <w:r>
        <w:t xml:space="preserve">Recovery </w:t>
      </w:r>
      <w:r w:rsidR="00F21968">
        <w:t xml:space="preserve">is </w:t>
      </w:r>
      <w:r>
        <w:t>driven by spend</w:t>
      </w:r>
      <w:r w:rsidR="00F21968">
        <w:t xml:space="preserve"> on accommodation and holidays</w:t>
      </w:r>
    </w:p>
    <w:p w14:paraId="01E0DC1D" w14:textId="23293752" w:rsidR="00D91189" w:rsidRDefault="00D91189" w:rsidP="00D91189">
      <w:r>
        <w:t xml:space="preserve">Spend in the March quarter 2022 exceeded spend in the March quarter 2020 by 14% or $2.6 billion. This </w:t>
      </w:r>
      <w:r w:rsidR="00D670F5">
        <w:t>wa</w:t>
      </w:r>
      <w:r>
        <w:t>s driven by an increase in spend on:</w:t>
      </w:r>
    </w:p>
    <w:p w14:paraId="4F6F4E5F" w14:textId="1E11C8E6" w:rsidR="000F5777" w:rsidRDefault="00D91189" w:rsidP="000F5777">
      <w:pPr>
        <w:pStyle w:val="ListParagraph"/>
        <w:numPr>
          <w:ilvl w:val="0"/>
          <w:numId w:val="30"/>
        </w:numPr>
        <w:rPr>
          <w:rFonts w:asciiTheme="minorHAnsi" w:hAnsiTheme="minorHAnsi" w:cstheme="minorBidi"/>
          <w:lang w:eastAsia="zh-CN"/>
        </w:rPr>
      </w:pPr>
      <w:r w:rsidRPr="00D91189">
        <w:rPr>
          <w:rFonts w:asciiTheme="minorHAnsi" w:hAnsiTheme="minorHAnsi" w:cstheme="minorBidi"/>
          <w:lang w:eastAsia="zh-CN"/>
        </w:rPr>
        <w:t>Accommodation</w:t>
      </w:r>
      <w:r w:rsidR="000F5777">
        <w:rPr>
          <w:rFonts w:asciiTheme="minorHAnsi" w:hAnsiTheme="minorHAnsi" w:cstheme="minorBidi"/>
          <w:lang w:eastAsia="zh-CN"/>
        </w:rPr>
        <w:t>, up 33% or $1.6 billion</w:t>
      </w:r>
    </w:p>
    <w:p w14:paraId="2B54DE59" w14:textId="19DEB6FA" w:rsidR="000F5777" w:rsidRDefault="000F5777" w:rsidP="000F5777">
      <w:pPr>
        <w:pStyle w:val="ListParagraph"/>
        <w:numPr>
          <w:ilvl w:val="0"/>
          <w:numId w:val="30"/>
        </w:numPr>
        <w:rPr>
          <w:rFonts w:asciiTheme="minorHAnsi" w:hAnsiTheme="minorHAnsi" w:cstheme="minorBidi"/>
          <w:lang w:eastAsia="zh-CN"/>
        </w:rPr>
      </w:pPr>
      <w:r>
        <w:rPr>
          <w:rFonts w:asciiTheme="minorHAnsi" w:hAnsiTheme="minorHAnsi" w:cstheme="minorBidi"/>
          <w:lang w:eastAsia="zh-CN"/>
        </w:rPr>
        <w:t>Eating out, up 23% or $686 million</w:t>
      </w:r>
    </w:p>
    <w:p w14:paraId="101E4A66" w14:textId="5EF9A89D" w:rsidR="000F5777" w:rsidRDefault="000F5777" w:rsidP="000F5777">
      <w:pPr>
        <w:pStyle w:val="ListParagraph"/>
        <w:numPr>
          <w:ilvl w:val="0"/>
          <w:numId w:val="30"/>
        </w:numPr>
        <w:rPr>
          <w:rFonts w:asciiTheme="minorHAnsi" w:hAnsiTheme="minorHAnsi" w:cstheme="minorBidi"/>
          <w:lang w:eastAsia="zh-CN"/>
        </w:rPr>
      </w:pPr>
      <w:r>
        <w:rPr>
          <w:rFonts w:asciiTheme="minorHAnsi" w:hAnsiTheme="minorHAnsi" w:cstheme="minorBidi"/>
          <w:lang w:eastAsia="zh-CN"/>
        </w:rPr>
        <w:t>Petrol, up 21% or $396 million</w:t>
      </w:r>
    </w:p>
    <w:p w14:paraId="2AC67876" w14:textId="7D9DBA7E" w:rsidR="000F5777" w:rsidRPr="000F5777" w:rsidRDefault="000F5777" w:rsidP="000F5777">
      <w:pPr>
        <w:pStyle w:val="ListParagraph"/>
        <w:numPr>
          <w:ilvl w:val="0"/>
          <w:numId w:val="30"/>
        </w:numPr>
        <w:rPr>
          <w:rFonts w:asciiTheme="minorHAnsi" w:hAnsiTheme="minorHAnsi" w:cstheme="minorBidi"/>
          <w:lang w:eastAsia="zh-CN"/>
        </w:rPr>
      </w:pPr>
      <w:r>
        <w:rPr>
          <w:rFonts w:asciiTheme="minorHAnsi" w:hAnsiTheme="minorHAnsi" w:cstheme="minorBidi"/>
          <w:lang w:eastAsia="zh-CN"/>
        </w:rPr>
        <w:t>Shopping, up 22% or $270 million</w:t>
      </w:r>
    </w:p>
    <w:p w14:paraId="6F548D75" w14:textId="294B1716" w:rsidR="007E331A" w:rsidRDefault="007E331A" w:rsidP="007E331A"/>
    <w:p w14:paraId="40C15FF0" w14:textId="2AF8BA75" w:rsidR="00171585" w:rsidRDefault="00F21968" w:rsidP="007E331A">
      <w:r>
        <w:t xml:space="preserve">Increased spending on holidays also contributed to the strong performance </w:t>
      </w:r>
      <w:r w:rsidR="00D670F5">
        <w:t>in</w:t>
      </w:r>
      <w:r>
        <w:t xml:space="preserve"> the quarter. Holiday spend increased by </w:t>
      </w:r>
      <w:r w:rsidR="000F0BED">
        <w:t>30</w:t>
      </w:r>
      <w:r>
        <w:t xml:space="preserve">% or $3 billion from the March quarter 2020. Visiting friends and family also saw a modest increase of </w:t>
      </w:r>
      <w:r w:rsidR="000F0BED">
        <w:t>14</w:t>
      </w:r>
      <w:r>
        <w:t>% or $</w:t>
      </w:r>
      <w:r w:rsidR="000F0BED">
        <w:t>499</w:t>
      </w:r>
      <w:r>
        <w:t xml:space="preserve"> million over the same period. On the other hand, business travel fell by 23% or $8</w:t>
      </w:r>
      <w:r w:rsidR="000F0BED">
        <w:t>26</w:t>
      </w:r>
      <w:r>
        <w:t xml:space="preserve"> million.</w:t>
      </w:r>
    </w:p>
    <w:p w14:paraId="74414EAE" w14:textId="77777777" w:rsidR="00D86BAF" w:rsidRDefault="00E03846" w:rsidP="00D86BAF">
      <w:pPr>
        <w:pStyle w:val="Quote"/>
        <w:ind w:right="0"/>
      </w:pPr>
      <w:bookmarkStart w:id="0" w:name="_Hlk97281665"/>
      <w:r w:rsidRPr="00D204C3">
        <w:rPr>
          <w:b/>
          <w:bCs/>
        </w:rPr>
        <w:t xml:space="preserve">Note: </w:t>
      </w:r>
      <w:r w:rsidR="001A333C">
        <w:t>S</w:t>
      </w:r>
      <w:r w:rsidRPr="00D204C3">
        <w:t>ummary results for</w:t>
      </w:r>
      <w:r w:rsidR="00D86BAF">
        <w:t xml:space="preserve"> the March 2022 quarter, and the year ending March 2022, are compared to the March 2020 quarter, and the year ending March 2020 unless stated otherwise.</w:t>
      </w:r>
    </w:p>
    <w:p w14:paraId="366191E3" w14:textId="47A6B677" w:rsidR="00D86BAF" w:rsidRPr="00D86BAF" w:rsidRDefault="00D86BAF" w:rsidP="00D86BAF">
      <w:pPr>
        <w:pStyle w:val="Quote"/>
        <w:ind w:right="0"/>
      </w:pPr>
      <w:r>
        <w:t xml:space="preserve">Whilst March 2020 was impacted by the start of the COVID-19 pandemic, </w:t>
      </w:r>
      <w:proofErr w:type="gramStart"/>
      <w:r>
        <w:t>the majority of</w:t>
      </w:r>
      <w:proofErr w:type="gramEnd"/>
      <w:r>
        <w:t xml:space="preserve"> the March 2020 quarter and the year ending March 2020 </w:t>
      </w:r>
      <w:r w:rsidR="001C2C56">
        <w:t>was unaffected.</w:t>
      </w:r>
      <w:r>
        <w:t xml:space="preserve"> </w:t>
      </w:r>
    </w:p>
    <w:bookmarkEnd w:id="0"/>
    <w:p w14:paraId="0C859618" w14:textId="3EB4C352" w:rsidR="00420E6E" w:rsidRPr="00D204C3" w:rsidRDefault="00420E6E" w:rsidP="00420E6E">
      <w:pPr>
        <w:pStyle w:val="Heading2"/>
      </w:pPr>
      <w:r w:rsidRPr="00D204C3">
        <w:lastRenderedPageBreak/>
        <w:t>Key figures</w:t>
      </w:r>
    </w:p>
    <w:p w14:paraId="54A5B193" w14:textId="7DD10C52" w:rsidR="00750D77" w:rsidRPr="00D204C3" w:rsidRDefault="007C07F4" w:rsidP="00E31522">
      <w:pPr>
        <w:pStyle w:val="Heading3"/>
      </w:pPr>
      <w:r w:rsidRPr="00D204C3">
        <w:t xml:space="preserve">Year </w:t>
      </w:r>
      <w:r w:rsidR="002D2648" w:rsidRPr="00D204C3">
        <w:t>e</w:t>
      </w:r>
      <w:r w:rsidRPr="00D204C3">
        <w:t xml:space="preserve">nding </w:t>
      </w:r>
      <w:r w:rsidR="003959B0">
        <w:t>March 2022</w:t>
      </w:r>
    </w:p>
    <w:p w14:paraId="59D16349" w14:textId="3712AA84" w:rsidR="00CA7BF2" w:rsidRPr="00D204C3" w:rsidRDefault="007C07F4" w:rsidP="001C43A2">
      <w:pPr>
        <w:spacing w:after="0"/>
      </w:pPr>
      <w:r w:rsidRPr="00D204C3">
        <w:t xml:space="preserve">The year ending </w:t>
      </w:r>
      <w:r w:rsidR="003959B0">
        <w:t>March 2022</w:t>
      </w:r>
      <w:r w:rsidR="001C43A2" w:rsidRPr="00D204C3">
        <w:t xml:space="preserve"> </w:t>
      </w:r>
      <w:r w:rsidRPr="00D204C3">
        <w:t>saw</w:t>
      </w:r>
      <w:r w:rsidR="00D63C9B">
        <w:t xml:space="preserve"> visitors</w:t>
      </w:r>
      <w:r w:rsidR="00DE439F" w:rsidRPr="00D204C3">
        <w:t>:</w:t>
      </w:r>
      <w:r w:rsidRPr="00D204C3">
        <w:t xml:space="preserve"> </w:t>
      </w:r>
    </w:p>
    <w:p w14:paraId="684F5173" w14:textId="03195C2C" w:rsidR="00920CA4" w:rsidRPr="00D204C3" w:rsidRDefault="00D63C9B">
      <w:pPr>
        <w:pStyle w:val="ListParagraph"/>
        <w:numPr>
          <w:ilvl w:val="0"/>
          <w:numId w:val="18"/>
        </w:numPr>
      </w:pPr>
      <w:r>
        <w:rPr>
          <w:rFonts w:asciiTheme="minorHAnsi" w:hAnsiTheme="minorHAnsi" w:cstheme="minorBidi"/>
          <w:lang w:eastAsia="zh-CN"/>
        </w:rPr>
        <w:t xml:space="preserve">take </w:t>
      </w:r>
      <w:r w:rsidR="007C07F4" w:rsidRPr="00D204C3">
        <w:rPr>
          <w:rFonts w:asciiTheme="minorHAnsi" w:hAnsiTheme="minorHAnsi" w:cstheme="minorBidi"/>
          <w:lang w:eastAsia="zh-CN"/>
        </w:rPr>
        <w:t>82.</w:t>
      </w:r>
      <w:r w:rsidR="00673853" w:rsidRPr="00D204C3">
        <w:rPr>
          <w:rFonts w:asciiTheme="minorHAnsi" w:hAnsiTheme="minorHAnsi" w:cstheme="minorBidi"/>
          <w:lang w:eastAsia="zh-CN"/>
        </w:rPr>
        <w:t>1</w:t>
      </w:r>
      <w:r w:rsidR="007C07F4" w:rsidRPr="00D204C3">
        <w:rPr>
          <w:rFonts w:asciiTheme="minorHAnsi" w:hAnsiTheme="minorHAnsi" w:cstheme="minorBidi"/>
          <w:lang w:eastAsia="zh-CN"/>
        </w:rPr>
        <w:t xml:space="preserve"> million overnight trips</w:t>
      </w:r>
    </w:p>
    <w:p w14:paraId="0637143F" w14:textId="4FAB48E7" w:rsidR="00920CA4" w:rsidRPr="00D204C3" w:rsidRDefault="007C07F4">
      <w:pPr>
        <w:pStyle w:val="ListParagraph"/>
        <w:numPr>
          <w:ilvl w:val="0"/>
          <w:numId w:val="18"/>
        </w:numPr>
      </w:pPr>
      <w:r w:rsidRPr="00D204C3">
        <w:rPr>
          <w:rFonts w:asciiTheme="minorHAnsi" w:hAnsiTheme="minorHAnsi" w:cstheme="minorBidi"/>
          <w:lang w:eastAsia="zh-CN"/>
        </w:rPr>
        <w:t xml:space="preserve">stay </w:t>
      </w:r>
      <w:r w:rsidR="003959B0">
        <w:rPr>
          <w:rFonts w:asciiTheme="minorHAnsi" w:hAnsiTheme="minorHAnsi" w:cstheme="minorBidi"/>
          <w:lang w:eastAsia="zh-CN"/>
        </w:rPr>
        <w:t>318.3</w:t>
      </w:r>
      <w:r w:rsidRPr="00D204C3">
        <w:rPr>
          <w:rFonts w:asciiTheme="minorHAnsi" w:hAnsiTheme="minorHAnsi" w:cstheme="minorBidi"/>
          <w:lang w:eastAsia="zh-CN"/>
        </w:rPr>
        <w:t xml:space="preserve"> million nights  </w:t>
      </w:r>
    </w:p>
    <w:p w14:paraId="53519095" w14:textId="5FBD035C" w:rsidR="0043585B" w:rsidRPr="00D204C3" w:rsidRDefault="007C07F4" w:rsidP="001C43A2">
      <w:pPr>
        <w:pStyle w:val="ListParagraph"/>
        <w:numPr>
          <w:ilvl w:val="0"/>
          <w:numId w:val="18"/>
        </w:numPr>
      </w:pPr>
      <w:r w:rsidRPr="00D204C3">
        <w:rPr>
          <w:rFonts w:asciiTheme="minorHAnsi" w:hAnsiTheme="minorHAnsi" w:cstheme="minorBidi"/>
          <w:lang w:eastAsia="zh-CN"/>
        </w:rPr>
        <w:t>spend $</w:t>
      </w:r>
      <w:r w:rsidR="003959B0">
        <w:rPr>
          <w:rFonts w:asciiTheme="minorHAnsi" w:hAnsiTheme="minorHAnsi" w:cstheme="minorBidi"/>
          <w:lang w:eastAsia="zh-CN"/>
        </w:rPr>
        <w:t>63.3</w:t>
      </w:r>
      <w:r w:rsidRPr="00D204C3">
        <w:rPr>
          <w:rFonts w:asciiTheme="minorHAnsi" w:hAnsiTheme="minorHAnsi" w:cstheme="minorBidi"/>
          <w:lang w:eastAsia="zh-CN"/>
        </w:rPr>
        <w:t xml:space="preserve"> billion. </w:t>
      </w:r>
    </w:p>
    <w:p w14:paraId="224F2559" w14:textId="1DDFA546" w:rsidR="0043585B" w:rsidRPr="00D86BAF" w:rsidRDefault="007C07F4" w:rsidP="001C43A2">
      <w:pPr>
        <w:spacing w:before="120" w:after="0"/>
      </w:pPr>
      <w:r w:rsidRPr="00D86BAF">
        <w:t>Compared to</w:t>
      </w:r>
      <w:r w:rsidR="00F2507F" w:rsidRPr="00D86BAF">
        <w:t xml:space="preserve"> </w:t>
      </w:r>
      <w:r w:rsidR="0013397D" w:rsidRPr="00D86BAF">
        <w:t xml:space="preserve">the </w:t>
      </w:r>
      <w:r w:rsidRPr="00D86BAF">
        <w:t xml:space="preserve">pre-COVID year ending </w:t>
      </w:r>
      <w:r w:rsidR="003959B0" w:rsidRPr="00D86BAF">
        <w:t>March</w:t>
      </w:r>
      <w:r w:rsidRPr="00D86BAF">
        <w:t xml:space="preserve"> </w:t>
      </w:r>
      <w:r w:rsidR="00D86BAF" w:rsidRPr="00D86BAF">
        <w:t>2020</w:t>
      </w:r>
      <w:r w:rsidR="00D63C9B" w:rsidRPr="00D86BAF">
        <w:t>,</w:t>
      </w:r>
      <w:r w:rsidRPr="00D86BAF">
        <w:t xml:space="preserve"> this was a</w:t>
      </w:r>
      <w:r w:rsidR="00DE439F" w:rsidRPr="00D86BAF">
        <w:t>:</w:t>
      </w:r>
      <w:r w:rsidRPr="00D86BAF">
        <w:t xml:space="preserve"> </w:t>
      </w:r>
    </w:p>
    <w:p w14:paraId="3D55B05B" w14:textId="0FA718A6" w:rsidR="0043585B" w:rsidRPr="00D86BAF" w:rsidRDefault="003959B0" w:rsidP="001C43A2">
      <w:pPr>
        <w:pStyle w:val="ListParagraph"/>
        <w:numPr>
          <w:ilvl w:val="0"/>
          <w:numId w:val="18"/>
        </w:numPr>
      </w:pPr>
      <w:r w:rsidRPr="00D86BAF">
        <w:rPr>
          <w:rFonts w:asciiTheme="minorHAnsi" w:hAnsiTheme="minorHAnsi" w:cstheme="minorBidi"/>
          <w:lang w:eastAsia="zh-CN"/>
        </w:rPr>
        <w:t>2</w:t>
      </w:r>
      <w:r w:rsidR="00D86BAF" w:rsidRPr="00D86BAF">
        <w:rPr>
          <w:rFonts w:asciiTheme="minorHAnsi" w:hAnsiTheme="minorHAnsi" w:cstheme="minorBidi"/>
          <w:lang w:eastAsia="zh-CN"/>
        </w:rPr>
        <w:t>7</w:t>
      </w:r>
      <w:r w:rsidR="007C07F4" w:rsidRPr="00D86BAF">
        <w:rPr>
          <w:rFonts w:asciiTheme="minorHAnsi" w:hAnsiTheme="minorHAnsi" w:cstheme="minorBidi"/>
          <w:lang w:eastAsia="zh-CN"/>
        </w:rPr>
        <w:t xml:space="preserve">% fall in overnight trips </w:t>
      </w:r>
    </w:p>
    <w:p w14:paraId="1F6A4E57" w14:textId="76057E09" w:rsidR="0043585B" w:rsidRPr="00D86BAF" w:rsidRDefault="00D86BAF" w:rsidP="001C43A2">
      <w:pPr>
        <w:pStyle w:val="ListParagraph"/>
        <w:numPr>
          <w:ilvl w:val="0"/>
          <w:numId w:val="18"/>
        </w:numPr>
      </w:pPr>
      <w:r w:rsidRPr="00D86BAF">
        <w:rPr>
          <w:rFonts w:asciiTheme="minorHAnsi" w:hAnsiTheme="minorHAnsi" w:cstheme="minorBidi"/>
          <w:lang w:eastAsia="zh-CN"/>
        </w:rPr>
        <w:t>20</w:t>
      </w:r>
      <w:r w:rsidR="007C07F4" w:rsidRPr="00D86BAF">
        <w:rPr>
          <w:rFonts w:asciiTheme="minorHAnsi" w:hAnsiTheme="minorHAnsi" w:cstheme="minorBidi"/>
          <w:lang w:eastAsia="zh-CN"/>
        </w:rPr>
        <w:t>% or $</w:t>
      </w:r>
      <w:r w:rsidRPr="00D86BAF">
        <w:rPr>
          <w:rFonts w:asciiTheme="minorHAnsi" w:hAnsiTheme="minorHAnsi" w:cstheme="minorBidi"/>
          <w:lang w:eastAsia="zh-CN"/>
        </w:rPr>
        <w:t>15.4</w:t>
      </w:r>
      <w:r w:rsidR="007C07F4" w:rsidRPr="00D86BAF">
        <w:rPr>
          <w:rFonts w:asciiTheme="minorHAnsi" w:hAnsiTheme="minorHAnsi" w:cstheme="minorBidi"/>
          <w:lang w:eastAsia="zh-CN"/>
        </w:rPr>
        <w:t xml:space="preserve"> billion fall in spend. </w:t>
      </w:r>
    </w:p>
    <w:p w14:paraId="739A3B5A" w14:textId="018BECF7" w:rsidR="007C07F4" w:rsidRPr="00D204C3" w:rsidRDefault="00D63C9B" w:rsidP="002B64CF">
      <w:pPr>
        <w:spacing w:before="120"/>
      </w:pPr>
      <w:r>
        <w:t>Overall annual re</w:t>
      </w:r>
      <w:r w:rsidR="00627C77" w:rsidRPr="00D204C3">
        <w:t xml:space="preserve">sults </w:t>
      </w:r>
      <w:r>
        <w:t xml:space="preserve">for the </w:t>
      </w:r>
      <w:r w:rsidR="002B64CF">
        <w:t>year ending March 2022</w:t>
      </w:r>
      <w:r>
        <w:t xml:space="preserve"> </w:t>
      </w:r>
      <w:r w:rsidR="00627C77" w:rsidRPr="00D204C3">
        <w:t>were stronger</w:t>
      </w:r>
      <w:r w:rsidR="00691270" w:rsidRPr="00D204C3">
        <w:t xml:space="preserve"> than</w:t>
      </w:r>
      <w:r w:rsidR="002B64CF">
        <w:t xml:space="preserve"> the previous year. Overnight trips and spend increased by 13% and 39% respectively.</w:t>
      </w:r>
      <w:r w:rsidR="0013397D">
        <w:t xml:space="preserve"> This was</w:t>
      </w:r>
      <w:r w:rsidR="0043585B" w:rsidRPr="00D204C3">
        <w:t xml:space="preserve"> driven by the </w:t>
      </w:r>
      <w:r w:rsidR="002B64CF">
        <w:t xml:space="preserve">strong </w:t>
      </w:r>
      <w:r w:rsidR="0043585B" w:rsidRPr="00D204C3">
        <w:t xml:space="preserve">recovery </w:t>
      </w:r>
      <w:r w:rsidR="002B64CF">
        <w:t>in early 2021 and 2022</w:t>
      </w:r>
      <w:r w:rsidR="0043585B" w:rsidRPr="00D204C3">
        <w:t xml:space="preserve"> (Figure 1.)</w:t>
      </w:r>
    </w:p>
    <w:p w14:paraId="066B0480" w14:textId="0F852279" w:rsidR="007C07F4" w:rsidRPr="00D204C3" w:rsidRDefault="00106927" w:rsidP="00E31522">
      <w:pPr>
        <w:pStyle w:val="Heading3"/>
      </w:pPr>
      <w:r>
        <w:t>March</w:t>
      </w:r>
      <w:r w:rsidR="002D2648" w:rsidRPr="00D204C3">
        <w:t xml:space="preserve"> quarter 202</w:t>
      </w:r>
      <w:r>
        <w:t>2</w:t>
      </w:r>
    </w:p>
    <w:p w14:paraId="36BF87C1" w14:textId="298C609F" w:rsidR="0043585B" w:rsidRPr="00D204C3" w:rsidRDefault="0043585B" w:rsidP="007B7319">
      <w:r w:rsidRPr="00D204C3">
        <w:t>Quarterly results</w:t>
      </w:r>
      <w:r w:rsidR="00106927">
        <w:t xml:space="preserve"> </w:t>
      </w:r>
      <w:r w:rsidR="007B7319">
        <w:t>were up</w:t>
      </w:r>
      <w:r w:rsidRPr="00D204C3">
        <w:t xml:space="preserve"> on </w:t>
      </w:r>
      <w:r w:rsidR="00106927" w:rsidRPr="007B7319">
        <w:t>March</w:t>
      </w:r>
      <w:r w:rsidRPr="007B7319">
        <w:t xml:space="preserve"> quarter </w:t>
      </w:r>
      <w:r w:rsidR="007B7319">
        <w:t xml:space="preserve">2020, signalling a gradual recovery from COVID-19 with the further easing of state border closures and movement restrictions in this quarter. </w:t>
      </w:r>
      <w:r w:rsidR="00106927">
        <w:t xml:space="preserve"> </w:t>
      </w:r>
      <w:r w:rsidRPr="00D204C3">
        <w:t xml:space="preserve">Australians: </w:t>
      </w:r>
    </w:p>
    <w:p w14:paraId="398C08DF" w14:textId="1A269E58" w:rsidR="0043585B" w:rsidRPr="007B7319" w:rsidRDefault="00D670F5" w:rsidP="001C43A2">
      <w:pPr>
        <w:pStyle w:val="ListParagraph"/>
        <w:numPr>
          <w:ilvl w:val="0"/>
          <w:numId w:val="20"/>
        </w:numPr>
      </w:pPr>
      <w:r>
        <w:rPr>
          <w:rFonts w:asciiTheme="minorHAnsi" w:hAnsiTheme="minorHAnsi" w:cstheme="minorBidi"/>
          <w:lang w:eastAsia="zh-CN"/>
        </w:rPr>
        <w:t xml:space="preserve">took </w:t>
      </w:r>
      <w:r w:rsidR="00106927" w:rsidRPr="007B7319">
        <w:rPr>
          <w:rFonts w:asciiTheme="minorHAnsi" w:hAnsiTheme="minorHAnsi" w:cstheme="minorBidi"/>
          <w:lang w:eastAsia="zh-CN"/>
        </w:rPr>
        <w:t>24.</w:t>
      </w:r>
      <w:r w:rsidR="000F0BED">
        <w:rPr>
          <w:rFonts w:asciiTheme="minorHAnsi" w:hAnsiTheme="minorHAnsi" w:cstheme="minorBidi"/>
          <w:lang w:eastAsia="zh-CN"/>
        </w:rPr>
        <w:t>6</w:t>
      </w:r>
      <w:r w:rsidR="003D5FE0" w:rsidRPr="007B7319">
        <w:rPr>
          <w:rFonts w:asciiTheme="minorHAnsi" w:hAnsiTheme="minorHAnsi" w:cstheme="minorBidi"/>
          <w:lang w:eastAsia="zh-CN"/>
        </w:rPr>
        <w:t xml:space="preserve"> million overnight trips (</w:t>
      </w:r>
      <w:r w:rsidR="007B7319" w:rsidRPr="007B7319">
        <w:rPr>
          <w:rFonts w:asciiTheme="minorHAnsi" w:hAnsiTheme="minorHAnsi" w:cstheme="minorBidi"/>
          <w:lang w:eastAsia="zh-CN"/>
        </w:rPr>
        <w:t>up 1</w:t>
      </w:r>
      <w:r w:rsidR="003D5FE0" w:rsidRPr="007B7319">
        <w:rPr>
          <w:rFonts w:asciiTheme="minorHAnsi" w:hAnsiTheme="minorHAnsi" w:cstheme="minorBidi"/>
          <w:lang w:eastAsia="zh-CN"/>
        </w:rPr>
        <w:t>%)</w:t>
      </w:r>
    </w:p>
    <w:p w14:paraId="4EFFA15A" w14:textId="7426FDDB" w:rsidR="003D5FE0" w:rsidRPr="00AE0B25" w:rsidRDefault="00DE439F" w:rsidP="001C43A2">
      <w:pPr>
        <w:pStyle w:val="ListParagraph"/>
        <w:numPr>
          <w:ilvl w:val="0"/>
          <w:numId w:val="20"/>
        </w:numPr>
      </w:pPr>
      <w:r w:rsidRPr="007B7319">
        <w:rPr>
          <w:rFonts w:asciiTheme="minorHAnsi" w:hAnsiTheme="minorHAnsi" w:cstheme="minorBidi"/>
          <w:lang w:eastAsia="zh-CN"/>
        </w:rPr>
        <w:t>s</w:t>
      </w:r>
      <w:r w:rsidR="003D5FE0" w:rsidRPr="007B7319">
        <w:rPr>
          <w:rFonts w:asciiTheme="minorHAnsi" w:hAnsiTheme="minorHAnsi" w:cstheme="minorBidi"/>
          <w:lang w:eastAsia="zh-CN"/>
        </w:rPr>
        <w:t>pent $</w:t>
      </w:r>
      <w:r w:rsidR="00106927" w:rsidRPr="007B7319">
        <w:rPr>
          <w:rFonts w:asciiTheme="minorHAnsi" w:hAnsiTheme="minorHAnsi" w:cstheme="minorBidi"/>
          <w:lang w:eastAsia="zh-CN"/>
        </w:rPr>
        <w:t>20.5</w:t>
      </w:r>
      <w:r w:rsidR="003D5FE0" w:rsidRPr="007B7319">
        <w:rPr>
          <w:rFonts w:asciiTheme="minorHAnsi" w:hAnsiTheme="minorHAnsi" w:cstheme="minorBidi"/>
          <w:lang w:eastAsia="zh-CN"/>
        </w:rPr>
        <w:t xml:space="preserve"> billion (</w:t>
      </w:r>
      <w:r w:rsidR="00106927" w:rsidRPr="007B7319">
        <w:rPr>
          <w:rFonts w:asciiTheme="minorHAnsi" w:hAnsiTheme="minorHAnsi" w:cstheme="minorBidi"/>
          <w:lang w:eastAsia="zh-CN"/>
        </w:rPr>
        <w:t xml:space="preserve">up </w:t>
      </w:r>
      <w:r w:rsidR="007B7319" w:rsidRPr="007B7319">
        <w:rPr>
          <w:rFonts w:asciiTheme="minorHAnsi" w:hAnsiTheme="minorHAnsi" w:cstheme="minorBidi"/>
          <w:lang w:eastAsia="zh-CN"/>
        </w:rPr>
        <w:t>14</w:t>
      </w:r>
      <w:r w:rsidR="003D5FE0" w:rsidRPr="007B7319">
        <w:rPr>
          <w:rFonts w:asciiTheme="minorHAnsi" w:hAnsiTheme="minorHAnsi" w:cstheme="minorBidi"/>
          <w:lang w:eastAsia="zh-CN"/>
        </w:rPr>
        <w:t>%)</w:t>
      </w:r>
      <w:r w:rsidRPr="007B7319">
        <w:rPr>
          <w:rFonts w:asciiTheme="minorHAnsi" w:hAnsiTheme="minorHAnsi" w:cstheme="minorBidi"/>
          <w:lang w:eastAsia="zh-CN"/>
        </w:rPr>
        <w:t>.</w:t>
      </w:r>
    </w:p>
    <w:p w14:paraId="1D7E71A7" w14:textId="77777777" w:rsidR="002A1B3E" w:rsidRDefault="002A1B3E" w:rsidP="002A1B3E">
      <w:pPr>
        <w:pStyle w:val="Heading2"/>
      </w:pPr>
      <w:r>
        <w:t>Domestic tourism continues to make up the majority of visitor spend</w:t>
      </w:r>
    </w:p>
    <w:p w14:paraId="562A691B" w14:textId="10C373C2" w:rsidR="00AC25D4" w:rsidRDefault="00AC25D4" w:rsidP="00AC25D4">
      <w:pPr>
        <w:pStyle w:val="ListBullet"/>
        <w:numPr>
          <w:ilvl w:val="0"/>
          <w:numId w:val="32"/>
        </w:numPr>
        <w:jc w:val="both"/>
      </w:pPr>
      <w:r>
        <w:t>Domestic tourism contributed 96% of total tourism spend in the year ending</w:t>
      </w:r>
      <w:r w:rsidR="00E121E3">
        <w:t xml:space="preserve"> March</w:t>
      </w:r>
      <w:r>
        <w:t xml:space="preserve"> 2022</w:t>
      </w:r>
    </w:p>
    <w:p w14:paraId="16DADAA1" w14:textId="0B908C65" w:rsidR="002A1B3E" w:rsidRDefault="002A1B3E" w:rsidP="004B7DF6">
      <w:pPr>
        <w:pStyle w:val="ListBullet"/>
        <w:numPr>
          <w:ilvl w:val="0"/>
          <w:numId w:val="32"/>
        </w:numPr>
        <w:jc w:val="both"/>
      </w:pPr>
      <w:r>
        <w:t>The March quarter 2022 saw the re-opening of international borders on 21 February 2022</w:t>
      </w:r>
      <w:r w:rsidR="00AC25D4">
        <w:t>, leading to a small increase in the international spend</w:t>
      </w:r>
      <w:r w:rsidR="00AE0B25">
        <w:t xml:space="preserve"> contribution</w:t>
      </w:r>
      <w:r w:rsidR="00AC25D4">
        <w:t xml:space="preserve"> (Figure </w:t>
      </w:r>
      <w:r w:rsidR="00AC25D4" w:rsidRPr="007938C2">
        <w:t>2).</w:t>
      </w:r>
    </w:p>
    <w:p w14:paraId="6502067D" w14:textId="77777777" w:rsidR="002A1B3E" w:rsidRDefault="002A1B3E" w:rsidP="004B7DF6">
      <w:pPr>
        <w:pStyle w:val="ListBullet"/>
        <w:numPr>
          <w:ilvl w:val="0"/>
          <w:numId w:val="0"/>
        </w:numPr>
      </w:pPr>
    </w:p>
    <w:p w14:paraId="19BFC580" w14:textId="64C49063" w:rsidR="002A1B3E" w:rsidRDefault="002A1B3E" w:rsidP="002A1B3E">
      <w:pPr>
        <w:pStyle w:val="ListBullet"/>
        <w:numPr>
          <w:ilvl w:val="0"/>
          <w:numId w:val="0"/>
        </w:numPr>
        <w:ind w:left="284" w:hanging="284"/>
      </w:pPr>
      <w:r w:rsidRPr="00590E7C">
        <w:rPr>
          <w:b/>
          <w:bCs/>
        </w:rPr>
        <w:t>Figure 2.</w:t>
      </w:r>
      <w:r>
        <w:t xml:space="preserve"> Domestic and international visitor spend</w:t>
      </w:r>
      <w:r w:rsidR="00D670F5">
        <w:t xml:space="preserve"> in Australia</w:t>
      </w:r>
      <w:r>
        <w:t>,</w:t>
      </w:r>
      <w:r w:rsidR="00D93D39">
        <w:t xml:space="preserve"> </w:t>
      </w:r>
      <w:r w:rsidR="00AC25D4">
        <w:t>y</w:t>
      </w:r>
      <w:r w:rsidR="00D93D39">
        <w:t>ear ending March</w:t>
      </w:r>
      <w:r>
        <w:t xml:space="preserve"> 2010 to 202</w:t>
      </w:r>
      <w:r w:rsidR="00D93D39">
        <w:t>2</w:t>
      </w:r>
    </w:p>
    <w:p w14:paraId="3B43B77F" w14:textId="77777777" w:rsidR="00D93D39" w:rsidRDefault="00F63E73" w:rsidP="002A1B3E">
      <w:pPr>
        <w:pStyle w:val="ListBullet"/>
        <w:numPr>
          <w:ilvl w:val="0"/>
          <w:numId w:val="0"/>
        </w:numPr>
        <w:ind w:left="284" w:hanging="284"/>
      </w:pPr>
      <w:r>
        <w:rPr>
          <w:noProof/>
        </w:rPr>
        <w:drawing>
          <wp:inline distT="0" distB="0" distL="0" distR="0" wp14:anchorId="638C906E" wp14:editId="12296AE6">
            <wp:extent cx="6680936" cy="2905125"/>
            <wp:effectExtent l="0" t="0" r="0" b="0"/>
            <wp:docPr id="11" name="Picture 11" descr="The chart illustrates the total spend in Australia from both domestic and international visitors. The chart shows data from the year ending March 2010 through to the year ending March 2022. &#10;&#10;The chart shows an upward trend in overall spend, peaking at $133.2 billion for the year ending March 2020. There was then a sharp decline in the year ending March 2021 to $62.9 billion, before recovering to $85.6 billion in the year ending March 2022.&#10;&#10;Domestic spending have consistently made up the majority of spend. However, international spend have dropped to almost zero in the year ending March 2021. The year ending March 2022 saw a slight recovery in international spend. &#10;&#10;In the year ending March 2022, domestic travel contributed 96% of tourism sp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chart illustrates the total spend in Australia from both domestic and international visitors. The chart shows data from the year ending March 2010 through to the year ending March 2022. &#10;&#10;The chart shows an upward trend in overall spend, peaking at $133.2 billion for the year ending March 2020. There was then a sharp decline in the year ending March 2021 to $62.9 billion, before recovering to $85.6 billion in the year ending March 2022.&#10;&#10;Domestic spending have consistently made up the majority of spend. However, international spend have dropped to almost zero in the year ending March 2021. The year ending March 2022 saw a slight recovery in international spend. &#10;&#10;In the year ending March 2022, domestic travel contributed 96% of tourism spe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2612" cy="2905854"/>
                    </a:xfrm>
                    <a:prstGeom prst="rect">
                      <a:avLst/>
                    </a:prstGeom>
                    <a:noFill/>
                  </pic:spPr>
                </pic:pic>
              </a:graphicData>
            </a:graphic>
          </wp:inline>
        </w:drawing>
      </w:r>
    </w:p>
    <w:p w14:paraId="73360CB5" w14:textId="02AE12BF" w:rsidR="00780CAB" w:rsidRDefault="00780CAB" w:rsidP="00780CAB">
      <w:r w:rsidRPr="00780CAB">
        <w:t>Note: The data is year ending March quarter and excludes long</w:t>
      </w:r>
      <w:r w:rsidR="00505091">
        <w:t>-</w:t>
      </w:r>
      <w:r w:rsidRPr="00780CAB">
        <w:t>term international students. This means estimates will not directly align to THRIVE</w:t>
      </w:r>
      <w:r w:rsidR="00505091">
        <w:t xml:space="preserve"> 2030</w:t>
      </w:r>
      <w:r w:rsidRPr="00780CAB">
        <w:t xml:space="preserve"> targets</w:t>
      </w:r>
    </w:p>
    <w:p w14:paraId="3DAAEA89" w14:textId="5895504A" w:rsidR="002A1B3E" w:rsidRPr="00AE0B25" w:rsidRDefault="002A1B3E" w:rsidP="00AE0B25">
      <w:pPr>
        <w:pStyle w:val="Heading2"/>
      </w:pPr>
      <w:r w:rsidRPr="00D204C3">
        <w:lastRenderedPageBreak/>
        <w:t>Capital cities and regional travel</w:t>
      </w:r>
    </w:p>
    <w:p w14:paraId="60F456DE" w14:textId="27CBFECA" w:rsidR="002A1B3E" w:rsidRPr="00D204C3" w:rsidRDefault="002A1B3E" w:rsidP="002A1B3E">
      <w:r w:rsidRPr="00D204C3">
        <w:t>Capital cities have been hit harder than regional areas during the pandemic</w:t>
      </w:r>
      <w:r>
        <w:t xml:space="preserve"> (Figure </w:t>
      </w:r>
      <w:r w:rsidR="00DF52C5">
        <w:t>3</w:t>
      </w:r>
      <w:r>
        <w:t>)</w:t>
      </w:r>
      <w:r w:rsidRPr="00D204C3">
        <w:t xml:space="preserve"> due to:</w:t>
      </w:r>
    </w:p>
    <w:p w14:paraId="18B57F55" w14:textId="77777777" w:rsidR="002A1B3E" w:rsidRPr="00D204C3" w:rsidRDefault="002A1B3E" w:rsidP="002A1B3E">
      <w:pPr>
        <w:pStyle w:val="ListParagraph"/>
        <w:numPr>
          <w:ilvl w:val="0"/>
          <w:numId w:val="23"/>
        </w:numPr>
      </w:pPr>
      <w:r w:rsidRPr="00D204C3">
        <w:rPr>
          <w:rFonts w:asciiTheme="minorHAnsi" w:hAnsiTheme="minorHAnsi" w:cstheme="minorBidi"/>
          <w:lang w:eastAsia="zh-CN"/>
        </w:rPr>
        <w:t>more frequent lockdowns</w:t>
      </w:r>
    </w:p>
    <w:p w14:paraId="05E29CF3" w14:textId="77777777" w:rsidR="002A1B3E" w:rsidRPr="00D204C3" w:rsidRDefault="002A1B3E" w:rsidP="002A1B3E">
      <w:pPr>
        <w:pStyle w:val="ListParagraph"/>
        <w:numPr>
          <w:ilvl w:val="0"/>
          <w:numId w:val="23"/>
        </w:numPr>
      </w:pPr>
      <w:r w:rsidRPr="00D204C3">
        <w:rPr>
          <w:rFonts w:asciiTheme="minorHAnsi" w:hAnsiTheme="minorHAnsi" w:cstheme="minorBidi"/>
          <w:lang w:eastAsia="zh-CN"/>
        </w:rPr>
        <w:t>tougher restrictions</w:t>
      </w:r>
    </w:p>
    <w:p w14:paraId="16E5B37F" w14:textId="75B075A0" w:rsidR="002A1B3E" w:rsidRDefault="002A1B3E" w:rsidP="00AE0B25">
      <w:pPr>
        <w:pStyle w:val="ListParagraph"/>
        <w:numPr>
          <w:ilvl w:val="0"/>
          <w:numId w:val="23"/>
        </w:numPr>
      </w:pPr>
      <w:r w:rsidRPr="00D204C3">
        <w:rPr>
          <w:rFonts w:asciiTheme="minorHAnsi" w:hAnsiTheme="minorHAnsi" w:cstheme="minorBidi"/>
          <w:lang w:eastAsia="zh-CN"/>
        </w:rPr>
        <w:t>cities relying more on visitors arriving by air and/or for business, (both down during the pandemic).</w:t>
      </w:r>
    </w:p>
    <w:p w14:paraId="318B1E87" w14:textId="7B0C6DA4" w:rsidR="002A1B3E" w:rsidRPr="00D204C3" w:rsidRDefault="002A1B3E" w:rsidP="00E31522">
      <w:pPr>
        <w:pStyle w:val="Heading3"/>
      </w:pPr>
      <w:r>
        <w:t>March</w:t>
      </w:r>
      <w:r w:rsidR="00DF52C5">
        <w:t xml:space="preserve"> quarter</w:t>
      </w:r>
      <w:r>
        <w:t xml:space="preserve"> 2022</w:t>
      </w:r>
    </w:p>
    <w:p w14:paraId="411F00CD" w14:textId="36515BE2" w:rsidR="002A1B3E" w:rsidRPr="00D204C3" w:rsidRDefault="002A1B3E" w:rsidP="002A1B3E">
      <w:r>
        <w:t>Compared to pre-pandemic levels, March</w:t>
      </w:r>
      <w:r w:rsidR="00DF52C5">
        <w:t xml:space="preserve"> quarter</w:t>
      </w:r>
      <w:r>
        <w:t xml:space="preserve"> 2022 saw</w:t>
      </w:r>
    </w:p>
    <w:p w14:paraId="5D6E978E" w14:textId="5FA3DF57" w:rsidR="002A1B3E" w:rsidRPr="00343D07" w:rsidRDefault="002A1B3E" w:rsidP="002A1B3E">
      <w:pPr>
        <w:pStyle w:val="ListParagraph"/>
        <w:numPr>
          <w:ilvl w:val="0"/>
          <w:numId w:val="24"/>
        </w:numPr>
      </w:pPr>
      <w:r w:rsidRPr="00D204C3">
        <w:rPr>
          <w:rFonts w:asciiTheme="minorHAnsi" w:hAnsiTheme="minorHAnsi" w:cstheme="minorBidi"/>
          <w:lang w:eastAsia="zh-CN"/>
        </w:rPr>
        <w:t>trips to</w:t>
      </w:r>
      <w:r w:rsidR="00DF52C5">
        <w:rPr>
          <w:rFonts w:asciiTheme="minorHAnsi" w:hAnsiTheme="minorHAnsi" w:cstheme="minorBidi"/>
          <w:lang w:eastAsia="zh-CN"/>
        </w:rPr>
        <w:t xml:space="preserve"> regional Australia increase 9% and spend increase </w:t>
      </w:r>
      <w:r w:rsidR="000F0BED">
        <w:rPr>
          <w:rFonts w:asciiTheme="minorHAnsi" w:hAnsiTheme="minorHAnsi" w:cstheme="minorBidi"/>
          <w:lang w:eastAsia="zh-CN"/>
        </w:rPr>
        <w:t>32</w:t>
      </w:r>
      <w:r w:rsidR="00DF52C5">
        <w:rPr>
          <w:rFonts w:asciiTheme="minorHAnsi" w:hAnsiTheme="minorHAnsi" w:cstheme="minorBidi"/>
          <w:lang w:eastAsia="zh-CN"/>
        </w:rPr>
        <w:t>%</w:t>
      </w:r>
      <w:r w:rsidRPr="00D204C3">
        <w:rPr>
          <w:rFonts w:asciiTheme="minorHAnsi" w:hAnsiTheme="minorHAnsi" w:cstheme="minorBidi"/>
          <w:lang w:eastAsia="zh-CN"/>
        </w:rPr>
        <w:t xml:space="preserve"> </w:t>
      </w:r>
    </w:p>
    <w:p w14:paraId="2A1514D4" w14:textId="44725C50" w:rsidR="00DF52C5" w:rsidRPr="00343D07" w:rsidRDefault="00DF52C5" w:rsidP="002A1B3E">
      <w:pPr>
        <w:pStyle w:val="ListParagraph"/>
        <w:numPr>
          <w:ilvl w:val="0"/>
          <w:numId w:val="24"/>
        </w:numPr>
      </w:pPr>
      <w:r>
        <w:rPr>
          <w:rFonts w:asciiTheme="minorHAnsi" w:hAnsiTheme="minorHAnsi" w:cstheme="minorBidi"/>
          <w:lang w:eastAsia="zh-CN"/>
        </w:rPr>
        <w:t xml:space="preserve">trips to capital cities decreased 13% and spend decreased </w:t>
      </w:r>
      <w:r w:rsidR="000F0BED">
        <w:rPr>
          <w:rFonts w:asciiTheme="minorHAnsi" w:hAnsiTheme="minorHAnsi" w:cstheme="minorBidi"/>
          <w:lang w:eastAsia="zh-CN"/>
        </w:rPr>
        <w:t>7</w:t>
      </w:r>
      <w:r>
        <w:rPr>
          <w:rFonts w:asciiTheme="minorHAnsi" w:hAnsiTheme="minorHAnsi" w:cstheme="minorBidi"/>
          <w:lang w:eastAsia="zh-CN"/>
        </w:rPr>
        <w:t>%</w:t>
      </w:r>
    </w:p>
    <w:p w14:paraId="2CA868B6" w14:textId="7624C28D" w:rsidR="00B511CF" w:rsidRDefault="00B511CF" w:rsidP="00D93D39"/>
    <w:p w14:paraId="7B488E76" w14:textId="35CC2C9E" w:rsidR="00590E7C" w:rsidRDefault="00590E7C" w:rsidP="004B7DF6">
      <w:pPr>
        <w:pStyle w:val="ListBullet"/>
        <w:numPr>
          <w:ilvl w:val="0"/>
          <w:numId w:val="0"/>
        </w:numPr>
        <w:ind w:left="284" w:hanging="284"/>
      </w:pPr>
      <w:r w:rsidRPr="00343D07">
        <w:rPr>
          <w:b/>
          <w:bCs/>
        </w:rPr>
        <w:t>Figure 3.</w:t>
      </w:r>
      <w:r>
        <w:t xml:space="preserve"> Quarterly capital city and regional spend March 2019 to March 2022</w:t>
      </w:r>
    </w:p>
    <w:p w14:paraId="74D8711A" w14:textId="5BC98CED" w:rsidR="00E85BCC" w:rsidRDefault="00E85BCC" w:rsidP="004B7DF6">
      <w:pPr>
        <w:pStyle w:val="ListBullet"/>
        <w:numPr>
          <w:ilvl w:val="0"/>
          <w:numId w:val="0"/>
        </w:numPr>
        <w:ind w:left="284" w:hanging="284"/>
      </w:pPr>
      <w:r>
        <w:rPr>
          <w:noProof/>
        </w:rPr>
        <w:drawing>
          <wp:inline distT="0" distB="0" distL="0" distR="0" wp14:anchorId="5E303909" wp14:editId="45F6D577">
            <wp:extent cx="6410325" cy="3419475"/>
            <wp:effectExtent l="0" t="0" r="0" b="0"/>
            <wp:docPr id="17" name="Chart 17" descr="This chart compares the regional and capital city spend per quarter, from the March quarter 2019 to the March quarter 2022. This chart also shows total spend.&#10;&#10;The chart shows that the regional and capital city spend were relatively similar from the March quarter 2019 to the March quarter 2020. In the June quarter of 2020, spend dropped sharply for both regional and capital city spend. &#10;&#10;Regional spend recovered to pre-pandemic levels by the December quarter 2020. On the other hand, capital city spend remains low.&#10;&#10;The chart also shows sharp drops in spending in response to the start of the COVID-19 pandemic and when borders close due to the Delta variant. Spending then increased sharply when borders restrictions eased.">
              <a:extLst xmlns:a="http://schemas.openxmlformats.org/drawingml/2006/main">
                <a:ext uri="{FF2B5EF4-FFF2-40B4-BE49-F238E27FC236}">
                  <a16:creationId xmlns:a16="http://schemas.microsoft.com/office/drawing/2014/main" id="{71D47700-D537-4921-83C6-5DE483722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2D8F36" w14:textId="35876C3B" w:rsidR="00D372C9" w:rsidRDefault="00D372C9" w:rsidP="004B7DF6">
      <w:pPr>
        <w:pStyle w:val="ListBullet"/>
        <w:numPr>
          <w:ilvl w:val="0"/>
          <w:numId w:val="0"/>
        </w:numPr>
        <w:ind w:left="284" w:hanging="284"/>
      </w:pPr>
    </w:p>
    <w:p w14:paraId="5499071E" w14:textId="425A48A7" w:rsidR="00DF52C5" w:rsidRPr="00D204C3" w:rsidRDefault="00DF52C5" w:rsidP="00E31522">
      <w:pPr>
        <w:pStyle w:val="Heading3"/>
      </w:pPr>
      <w:r>
        <w:t>Year ending March 2022</w:t>
      </w:r>
    </w:p>
    <w:p w14:paraId="575F5E78" w14:textId="77777777" w:rsidR="00DF52C5" w:rsidRPr="00D204C3" w:rsidRDefault="00DF52C5" w:rsidP="00DF52C5">
      <w:r>
        <w:t xml:space="preserve">Compared to pre-pandemic levels, </w:t>
      </w:r>
      <w:r w:rsidRPr="00D204C3">
        <w:t xml:space="preserve">the year ending </w:t>
      </w:r>
      <w:r>
        <w:t>March 2022 saw</w:t>
      </w:r>
      <w:r w:rsidRPr="00D204C3">
        <w:t>:</w:t>
      </w:r>
    </w:p>
    <w:p w14:paraId="2C5E0CB2" w14:textId="5E971D1A" w:rsidR="00DF52C5" w:rsidRPr="00343D07" w:rsidRDefault="00DF52C5" w:rsidP="00DF52C5">
      <w:pPr>
        <w:pStyle w:val="ListParagraph"/>
        <w:numPr>
          <w:ilvl w:val="0"/>
          <w:numId w:val="24"/>
        </w:numPr>
      </w:pPr>
      <w:r w:rsidRPr="00D204C3">
        <w:rPr>
          <w:rFonts w:asciiTheme="minorHAnsi" w:hAnsiTheme="minorHAnsi" w:cstheme="minorBidi"/>
          <w:lang w:eastAsia="zh-CN"/>
        </w:rPr>
        <w:t xml:space="preserve">trips to regional areas </w:t>
      </w:r>
      <w:r>
        <w:rPr>
          <w:rFonts w:asciiTheme="minorHAnsi" w:hAnsiTheme="minorHAnsi" w:cstheme="minorBidi"/>
          <w:lang w:eastAsia="zh-CN"/>
        </w:rPr>
        <w:t>f</w:t>
      </w:r>
      <w:r w:rsidR="00AF6EBD">
        <w:rPr>
          <w:rFonts w:asciiTheme="minorHAnsi" w:hAnsiTheme="minorHAnsi" w:cstheme="minorBidi"/>
          <w:lang w:eastAsia="zh-CN"/>
        </w:rPr>
        <w:t>a</w:t>
      </w:r>
      <w:r>
        <w:rPr>
          <w:rFonts w:asciiTheme="minorHAnsi" w:hAnsiTheme="minorHAnsi" w:cstheme="minorBidi"/>
          <w:lang w:eastAsia="zh-CN"/>
        </w:rPr>
        <w:t>ll</w:t>
      </w:r>
      <w:r w:rsidRPr="00D204C3">
        <w:rPr>
          <w:rFonts w:asciiTheme="minorHAnsi" w:hAnsiTheme="minorHAnsi" w:cstheme="minorBidi"/>
          <w:lang w:eastAsia="zh-CN"/>
        </w:rPr>
        <w:t xml:space="preserve"> </w:t>
      </w:r>
      <w:r>
        <w:rPr>
          <w:rFonts w:asciiTheme="minorHAnsi" w:hAnsiTheme="minorHAnsi" w:cstheme="minorBidi"/>
          <w:lang w:eastAsia="zh-CN"/>
        </w:rPr>
        <w:t>17</w:t>
      </w:r>
      <w:r w:rsidRPr="00D204C3">
        <w:rPr>
          <w:rFonts w:asciiTheme="minorHAnsi" w:hAnsiTheme="minorHAnsi" w:cstheme="minorBidi"/>
          <w:lang w:eastAsia="zh-CN"/>
        </w:rPr>
        <w:t xml:space="preserve">% to 58 million and spend </w:t>
      </w:r>
      <w:r w:rsidR="000F0BED">
        <w:rPr>
          <w:rFonts w:asciiTheme="minorHAnsi" w:hAnsiTheme="minorHAnsi" w:cstheme="minorBidi"/>
          <w:lang w:eastAsia="zh-CN"/>
        </w:rPr>
        <w:t>1</w:t>
      </w:r>
      <w:r w:rsidRPr="00D204C3">
        <w:rPr>
          <w:rFonts w:asciiTheme="minorHAnsi" w:hAnsiTheme="minorHAnsi" w:cstheme="minorBidi"/>
          <w:lang w:eastAsia="zh-CN"/>
        </w:rPr>
        <w:t>% to $</w:t>
      </w:r>
      <w:r>
        <w:rPr>
          <w:rFonts w:asciiTheme="minorHAnsi" w:hAnsiTheme="minorHAnsi" w:cstheme="minorBidi"/>
          <w:lang w:eastAsia="zh-CN"/>
        </w:rPr>
        <w:t>4</w:t>
      </w:r>
      <w:r w:rsidR="000F0BED">
        <w:rPr>
          <w:rFonts w:asciiTheme="minorHAnsi" w:hAnsiTheme="minorHAnsi" w:cstheme="minorBidi"/>
          <w:lang w:eastAsia="zh-CN"/>
        </w:rPr>
        <w:t>0.2</w:t>
      </w:r>
      <w:r w:rsidRPr="00D204C3">
        <w:rPr>
          <w:rFonts w:asciiTheme="minorHAnsi" w:hAnsiTheme="minorHAnsi" w:cstheme="minorBidi"/>
          <w:lang w:eastAsia="zh-CN"/>
        </w:rPr>
        <w:t xml:space="preserve"> billion</w:t>
      </w:r>
    </w:p>
    <w:p w14:paraId="00DEFAB9" w14:textId="2F751C80" w:rsidR="00DF52C5" w:rsidRPr="00D204C3" w:rsidRDefault="00DF52C5" w:rsidP="00DF52C5">
      <w:pPr>
        <w:pStyle w:val="ListParagraph"/>
        <w:numPr>
          <w:ilvl w:val="0"/>
          <w:numId w:val="24"/>
        </w:numPr>
      </w:pPr>
      <w:r w:rsidRPr="00D204C3">
        <w:rPr>
          <w:rFonts w:asciiTheme="minorHAnsi" w:hAnsiTheme="minorHAnsi" w:cstheme="minorBidi"/>
          <w:lang w:eastAsia="zh-CN"/>
        </w:rPr>
        <w:t xml:space="preserve">trips to and spend in capital cities </w:t>
      </w:r>
      <w:r>
        <w:rPr>
          <w:rFonts w:asciiTheme="minorHAnsi" w:hAnsiTheme="minorHAnsi" w:cstheme="minorBidi"/>
          <w:lang w:eastAsia="zh-CN"/>
        </w:rPr>
        <w:t>fall by</w:t>
      </w:r>
      <w:r w:rsidRPr="00D204C3">
        <w:rPr>
          <w:rFonts w:asciiTheme="minorHAnsi" w:hAnsiTheme="minorHAnsi" w:cstheme="minorBidi"/>
          <w:lang w:eastAsia="zh-CN"/>
        </w:rPr>
        <w:t xml:space="preserve"> 4</w:t>
      </w:r>
      <w:r>
        <w:rPr>
          <w:rFonts w:asciiTheme="minorHAnsi" w:hAnsiTheme="minorHAnsi" w:cstheme="minorBidi"/>
          <w:lang w:eastAsia="zh-CN"/>
        </w:rPr>
        <w:t>2</w:t>
      </w:r>
      <w:r w:rsidRPr="00D204C3">
        <w:rPr>
          <w:rFonts w:asciiTheme="minorHAnsi" w:hAnsiTheme="minorHAnsi" w:cstheme="minorBidi"/>
          <w:lang w:eastAsia="zh-CN"/>
        </w:rPr>
        <w:t xml:space="preserve">% to </w:t>
      </w:r>
      <w:r>
        <w:rPr>
          <w:rFonts w:asciiTheme="minorHAnsi" w:hAnsiTheme="minorHAnsi" w:cstheme="minorBidi"/>
          <w:lang w:eastAsia="zh-CN"/>
        </w:rPr>
        <w:t>27.3</w:t>
      </w:r>
      <w:r w:rsidRPr="00D204C3">
        <w:rPr>
          <w:rFonts w:asciiTheme="minorHAnsi" w:hAnsiTheme="minorHAnsi" w:cstheme="minorBidi"/>
          <w:lang w:eastAsia="zh-CN"/>
        </w:rPr>
        <w:t xml:space="preserve"> million and </w:t>
      </w:r>
      <w:r>
        <w:rPr>
          <w:rFonts w:asciiTheme="minorHAnsi" w:hAnsiTheme="minorHAnsi" w:cstheme="minorBidi"/>
          <w:lang w:eastAsia="zh-CN"/>
        </w:rPr>
        <w:t xml:space="preserve">39% to </w:t>
      </w:r>
      <w:r w:rsidRPr="00D204C3">
        <w:rPr>
          <w:rFonts w:asciiTheme="minorHAnsi" w:hAnsiTheme="minorHAnsi" w:cstheme="minorBidi"/>
          <w:lang w:eastAsia="zh-CN"/>
        </w:rPr>
        <w:t>$</w:t>
      </w:r>
      <w:r>
        <w:rPr>
          <w:rFonts w:asciiTheme="minorHAnsi" w:hAnsiTheme="minorHAnsi" w:cstheme="minorBidi"/>
          <w:lang w:eastAsia="zh-CN"/>
        </w:rPr>
        <w:t>2</w:t>
      </w:r>
      <w:r w:rsidR="000F0BED">
        <w:rPr>
          <w:rFonts w:asciiTheme="minorHAnsi" w:hAnsiTheme="minorHAnsi" w:cstheme="minorBidi"/>
          <w:lang w:eastAsia="zh-CN"/>
        </w:rPr>
        <w:t>3.1</w:t>
      </w:r>
      <w:r w:rsidRPr="00D204C3">
        <w:rPr>
          <w:rFonts w:asciiTheme="minorHAnsi" w:hAnsiTheme="minorHAnsi" w:cstheme="minorBidi"/>
          <w:lang w:eastAsia="zh-CN"/>
        </w:rPr>
        <w:t xml:space="preserve"> billion</w:t>
      </w:r>
      <w:r>
        <w:rPr>
          <w:rFonts w:asciiTheme="minorHAnsi" w:hAnsiTheme="minorHAnsi" w:cstheme="minorBidi"/>
          <w:lang w:eastAsia="zh-CN"/>
        </w:rPr>
        <w:t xml:space="preserve"> respectively</w:t>
      </w:r>
    </w:p>
    <w:p w14:paraId="49A09BF0" w14:textId="307081A5" w:rsidR="002A1B3E" w:rsidRPr="007B7319" w:rsidRDefault="00DF52C5" w:rsidP="00590E7C">
      <w:pPr>
        <w:pStyle w:val="ListParagraph"/>
        <w:numPr>
          <w:ilvl w:val="0"/>
          <w:numId w:val="24"/>
        </w:numPr>
      </w:pPr>
      <w:r w:rsidRPr="00D204C3">
        <w:rPr>
          <w:rFonts w:asciiTheme="minorHAnsi" w:hAnsiTheme="minorHAnsi" w:cstheme="minorBidi"/>
          <w:lang w:eastAsia="zh-CN"/>
        </w:rPr>
        <w:t>regional trips contribute 6</w:t>
      </w:r>
      <w:r>
        <w:rPr>
          <w:rFonts w:asciiTheme="minorHAnsi" w:hAnsiTheme="minorHAnsi" w:cstheme="minorBidi"/>
          <w:lang w:eastAsia="zh-CN"/>
        </w:rPr>
        <w:t>6</w:t>
      </w:r>
      <w:r w:rsidRPr="00D204C3">
        <w:rPr>
          <w:rFonts w:asciiTheme="minorHAnsi" w:hAnsiTheme="minorHAnsi" w:cstheme="minorBidi"/>
          <w:lang w:eastAsia="zh-CN"/>
        </w:rPr>
        <w:t>% to total spend, up from 5</w:t>
      </w:r>
      <w:r>
        <w:rPr>
          <w:rFonts w:asciiTheme="minorHAnsi" w:hAnsiTheme="minorHAnsi" w:cstheme="minorBidi"/>
          <w:lang w:eastAsia="zh-CN"/>
        </w:rPr>
        <w:t>1</w:t>
      </w:r>
      <w:r w:rsidRPr="00D204C3">
        <w:rPr>
          <w:rFonts w:asciiTheme="minorHAnsi" w:hAnsiTheme="minorHAnsi" w:cstheme="minorBidi"/>
          <w:lang w:eastAsia="zh-CN"/>
        </w:rPr>
        <w:t xml:space="preserve">% </w:t>
      </w:r>
      <w:r w:rsidR="009B3879">
        <w:rPr>
          <w:rFonts w:asciiTheme="minorHAnsi" w:hAnsiTheme="minorHAnsi" w:cstheme="minorBidi"/>
          <w:lang w:eastAsia="zh-CN"/>
        </w:rPr>
        <w:t>o</w:t>
      </w:r>
      <w:r w:rsidRPr="00D204C3">
        <w:rPr>
          <w:rFonts w:asciiTheme="minorHAnsi" w:hAnsiTheme="minorHAnsi" w:cstheme="minorBidi"/>
          <w:lang w:eastAsia="zh-CN"/>
        </w:rPr>
        <w:t xml:space="preserve">n </w:t>
      </w:r>
      <w:r>
        <w:rPr>
          <w:rFonts w:asciiTheme="minorHAnsi" w:hAnsiTheme="minorHAnsi" w:cstheme="minorBidi"/>
          <w:lang w:eastAsia="zh-CN"/>
        </w:rPr>
        <w:t>pre-pandemic levels</w:t>
      </w:r>
      <w:r w:rsidRPr="00D204C3">
        <w:rPr>
          <w:rFonts w:asciiTheme="minorHAnsi" w:hAnsiTheme="minorHAnsi" w:cstheme="minorBidi"/>
          <w:lang w:eastAsia="zh-CN"/>
        </w:rPr>
        <w:t>.</w:t>
      </w:r>
    </w:p>
    <w:p w14:paraId="18857A2D" w14:textId="77777777" w:rsidR="002A1B3E" w:rsidRPr="00D204C3" w:rsidRDefault="002A1B3E" w:rsidP="002A1B3E">
      <w:pPr>
        <w:pStyle w:val="Heading2"/>
      </w:pPr>
      <w:r w:rsidRPr="00D204C3">
        <w:t xml:space="preserve">Losses continued for the tourism industry through </w:t>
      </w:r>
      <w:r>
        <w:t>March 2022</w:t>
      </w:r>
    </w:p>
    <w:p w14:paraId="53ACCEB0" w14:textId="3C574673" w:rsidR="002A1B3E" w:rsidRPr="007938C2" w:rsidRDefault="002A1B3E" w:rsidP="002A1B3E">
      <w:r w:rsidRPr="00D204C3">
        <w:t xml:space="preserve">Tourism losses since the start of the </w:t>
      </w:r>
      <w:r w:rsidRPr="007938C2">
        <w:t>pandemic (March 2020) totalled $1</w:t>
      </w:r>
      <w:r w:rsidR="00E121E3" w:rsidRPr="007938C2">
        <w:t>5</w:t>
      </w:r>
      <w:r w:rsidRPr="007938C2">
        <w:t>6.</w:t>
      </w:r>
      <w:r w:rsidR="00E121E3" w:rsidRPr="007938C2">
        <w:t>8</w:t>
      </w:r>
      <w:r w:rsidRPr="007938C2">
        <w:t xml:space="preserve"> billion through to March 2022 (Figure </w:t>
      </w:r>
      <w:r w:rsidR="00590E7C" w:rsidRPr="007938C2">
        <w:t>4</w:t>
      </w:r>
      <w:r w:rsidRPr="007938C2">
        <w:t xml:space="preserve">). </w:t>
      </w:r>
    </w:p>
    <w:p w14:paraId="27821493" w14:textId="77777777" w:rsidR="002A1B3E" w:rsidRPr="007938C2" w:rsidRDefault="002A1B3E" w:rsidP="002A1B3E">
      <w:r w:rsidRPr="007938C2">
        <w:t xml:space="preserve">This is comprised of: </w:t>
      </w:r>
    </w:p>
    <w:p w14:paraId="445C0EB0" w14:textId="77777777" w:rsidR="002A1B3E" w:rsidRPr="007938C2" w:rsidRDefault="002A1B3E" w:rsidP="002A1B3E">
      <w:pPr>
        <w:pStyle w:val="ListBullet"/>
      </w:pPr>
      <w:r w:rsidRPr="007938C2">
        <w:t xml:space="preserve">Domestic day trip </w:t>
      </w:r>
      <w:proofErr w:type="gramStart"/>
      <w:r w:rsidRPr="007938C2">
        <w:t>spend</w:t>
      </w:r>
      <w:proofErr w:type="gramEnd"/>
      <w:r w:rsidRPr="007938C2">
        <w:t xml:space="preserve"> down 34% or $18.7 billion </w:t>
      </w:r>
    </w:p>
    <w:p w14:paraId="1AAC5420" w14:textId="77777777" w:rsidR="002A1B3E" w:rsidRPr="007938C2" w:rsidRDefault="002A1B3E" w:rsidP="002A1B3E">
      <w:pPr>
        <w:pStyle w:val="ListBullet"/>
      </w:pPr>
      <w:r w:rsidRPr="007938C2">
        <w:t xml:space="preserve">Domestic overnight trip </w:t>
      </w:r>
      <w:proofErr w:type="gramStart"/>
      <w:r w:rsidRPr="007938C2">
        <w:t>spend</w:t>
      </w:r>
      <w:proofErr w:type="gramEnd"/>
      <w:r w:rsidRPr="007938C2">
        <w:t xml:space="preserve"> down 33% or $56.2 billion and </w:t>
      </w:r>
    </w:p>
    <w:p w14:paraId="60240F76" w14:textId="05410B60" w:rsidR="002A1B3E" w:rsidRPr="007938C2" w:rsidRDefault="002A1B3E" w:rsidP="002A1B3E">
      <w:pPr>
        <w:pStyle w:val="ListBullet"/>
      </w:pPr>
      <w:r w:rsidRPr="007938C2">
        <w:t>International spend down 9</w:t>
      </w:r>
      <w:r w:rsidR="00AE0B25" w:rsidRPr="007938C2">
        <w:t>2</w:t>
      </w:r>
      <w:r w:rsidRPr="007938C2">
        <w:t>% or $</w:t>
      </w:r>
      <w:r w:rsidR="00AE0B25" w:rsidRPr="007938C2">
        <w:t>81.9</w:t>
      </w:r>
      <w:r w:rsidRPr="007938C2">
        <w:t xml:space="preserve"> billion. </w:t>
      </w:r>
    </w:p>
    <w:p w14:paraId="4E2D6E3F" w14:textId="1B091403" w:rsidR="002A1B3E" w:rsidRPr="00D204C3" w:rsidRDefault="002A1B3E" w:rsidP="002A1B3E">
      <w:pPr>
        <w:rPr>
          <w:rFonts w:ascii="Calibri" w:eastAsia="Times New Roman" w:hAnsi="Calibri" w:cs="Times New Roman"/>
          <w:b/>
          <w:bCs/>
          <w:color w:val="000000"/>
          <w:sz w:val="22"/>
          <w:szCs w:val="22"/>
          <w:lang w:eastAsia="en-AU"/>
        </w:rPr>
      </w:pPr>
      <w:r w:rsidRPr="00D204C3">
        <w:rPr>
          <w:b/>
          <w:bCs/>
        </w:rPr>
        <w:lastRenderedPageBreak/>
        <w:t xml:space="preserve">Figure </w:t>
      </w:r>
      <w:r w:rsidR="00590E7C">
        <w:rPr>
          <w:b/>
          <w:bCs/>
        </w:rPr>
        <w:t>4</w:t>
      </w:r>
      <w:r w:rsidRPr="00D204C3">
        <w:rPr>
          <w:b/>
          <w:bCs/>
        </w:rPr>
        <w:t>.</w:t>
      </w:r>
      <w:r w:rsidRPr="00D204C3">
        <w:t xml:space="preserve"> Cumulative losses in travel, March 2</w:t>
      </w:r>
      <w:r w:rsidRPr="007938C2">
        <w:t xml:space="preserve">020 to </w:t>
      </w:r>
      <w:r w:rsidR="007938C2" w:rsidRPr="007938C2">
        <w:t>March</w:t>
      </w:r>
      <w:r w:rsidR="007938C2">
        <w:t xml:space="preserve"> 2022</w:t>
      </w:r>
      <w:r w:rsidRPr="00D204C3">
        <w:rPr>
          <w:rStyle w:val="FootnoteReference"/>
        </w:rPr>
        <w:footnoteReference w:id="1"/>
      </w:r>
    </w:p>
    <w:p w14:paraId="3FEB4C91" w14:textId="02385181" w:rsidR="002A1B3E" w:rsidRPr="00D204C3" w:rsidRDefault="007938C2" w:rsidP="002A1B3E">
      <w:r>
        <w:rPr>
          <w:noProof/>
        </w:rPr>
        <w:drawing>
          <wp:inline distT="0" distB="0" distL="0" distR="0" wp14:anchorId="459B8260" wp14:editId="2128684C">
            <wp:extent cx="6229350" cy="2790825"/>
            <wp:effectExtent l="0" t="0" r="0" b="0"/>
            <wp:docPr id="7" name="Chart 7" descr="An area chart showing the cumulative losses in spend for domestic day, domestic overnight and international visitors from March 2020 to March 2022.&#10;&#10;By March 2022 the losses had reached a total of $156.8 billion, with the majority of the losses from international visitors. The losses from domestic travellers have also stabilised from the previous quarter.">
              <a:extLst xmlns:a="http://schemas.openxmlformats.org/drawingml/2006/main">
                <a:ext uri="{FF2B5EF4-FFF2-40B4-BE49-F238E27FC236}">
                  <a16:creationId xmlns:a16="http://schemas.microsoft.com/office/drawing/2014/main" id="{5FA8F894-926D-4B34-A2FA-BF30D7C87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4BB2C0" w14:textId="7A7AD9D4" w:rsidR="00AE0B25" w:rsidRDefault="004B7DF6" w:rsidP="00D42FD5">
      <w:pPr>
        <w:pStyle w:val="ListBullet"/>
        <w:numPr>
          <w:ilvl w:val="0"/>
          <w:numId w:val="0"/>
        </w:numPr>
        <w:spacing w:after="100" w:afterAutospacing="1"/>
      </w:pPr>
      <w:r>
        <w:t>Cumulative</w:t>
      </w:r>
      <w:r w:rsidR="00AE0B25">
        <w:t xml:space="preserve"> loss reporting during the pandemic has provided valu</w:t>
      </w:r>
      <w:r>
        <w:t>able</w:t>
      </w:r>
      <w:r w:rsidR="00AE0B25">
        <w:t xml:space="preserve"> </w:t>
      </w:r>
      <w:r>
        <w:t>insights</w:t>
      </w:r>
      <w:r w:rsidR="00AE0B25">
        <w:t xml:space="preserve"> into </w:t>
      </w:r>
      <w:r>
        <w:t>the impact</w:t>
      </w:r>
      <w:r w:rsidR="00D42FD5">
        <w:t xml:space="preserve"> C</w:t>
      </w:r>
      <w:r>
        <w:t xml:space="preserve">OVID-19 has had on the tourism sector. As the economy transitions to recovery cumulative loss reporting will be discontinued. </w:t>
      </w:r>
    </w:p>
    <w:p w14:paraId="17CC8034" w14:textId="137F0A09" w:rsidR="00591B22" w:rsidRPr="00D204C3" w:rsidRDefault="00591B22" w:rsidP="00DA0CE4">
      <w:pPr>
        <w:pStyle w:val="Heading2"/>
      </w:pPr>
      <w:r w:rsidRPr="00D204C3">
        <w:t>States and territories</w:t>
      </w:r>
    </w:p>
    <w:p w14:paraId="3573D0F5" w14:textId="46892E3B" w:rsidR="009A1DD8" w:rsidRPr="00D204C3" w:rsidRDefault="00591B22" w:rsidP="00591B22">
      <w:r w:rsidRPr="00D204C3">
        <w:t xml:space="preserve">COVID-19 impacts have reduced domestic overnight travel across all states and territories during the year ending </w:t>
      </w:r>
      <w:r w:rsidR="00EA0E17">
        <w:t>March</w:t>
      </w:r>
      <w:r w:rsidRPr="00D204C3">
        <w:t xml:space="preserve"> 202</w:t>
      </w:r>
      <w:r w:rsidR="00EA0E17">
        <w:t>2</w:t>
      </w:r>
      <w:r w:rsidRPr="00D204C3">
        <w:t xml:space="preserve"> for visitors and spend (Figure </w:t>
      </w:r>
      <w:r w:rsidR="0013397D">
        <w:t>5</w:t>
      </w:r>
      <w:r w:rsidRPr="00D204C3">
        <w:t xml:space="preserve">). </w:t>
      </w:r>
      <w:r w:rsidR="00B62147" w:rsidRPr="00D204C3">
        <w:t xml:space="preserve">The </w:t>
      </w:r>
      <w:r w:rsidR="00775DA3" w:rsidRPr="00D204C3">
        <w:t>states</w:t>
      </w:r>
      <w:r w:rsidR="00B62147" w:rsidRPr="00D204C3">
        <w:t xml:space="preserve"> and territories most impacted by the pandemic in </w:t>
      </w:r>
      <w:r w:rsidR="00EA0E17">
        <w:t>this year</w:t>
      </w:r>
      <w:r w:rsidR="00775DA3" w:rsidRPr="00D204C3">
        <w:t xml:space="preserve"> </w:t>
      </w:r>
      <w:r w:rsidR="00775DA3" w:rsidRPr="007938C2">
        <w:t>were the A</w:t>
      </w:r>
      <w:r w:rsidR="007C204D" w:rsidRPr="007938C2">
        <w:t xml:space="preserve">ustralian Capital </w:t>
      </w:r>
      <w:r w:rsidR="000C43BC" w:rsidRPr="007938C2">
        <w:t>T</w:t>
      </w:r>
      <w:r w:rsidR="007C204D" w:rsidRPr="007938C2">
        <w:t>erritory</w:t>
      </w:r>
      <w:r w:rsidR="00775DA3" w:rsidRPr="007938C2">
        <w:t xml:space="preserve">, </w:t>
      </w:r>
      <w:proofErr w:type="gramStart"/>
      <w:r w:rsidR="00775DA3" w:rsidRPr="007938C2">
        <w:t>Vic</w:t>
      </w:r>
      <w:r w:rsidR="007C204D" w:rsidRPr="007938C2">
        <w:t>toria</w:t>
      </w:r>
      <w:proofErr w:type="gramEnd"/>
      <w:r w:rsidR="00775DA3" w:rsidRPr="007938C2">
        <w:t xml:space="preserve"> and </w:t>
      </w:r>
      <w:r w:rsidR="000C43BC" w:rsidRPr="007938C2">
        <w:t>N</w:t>
      </w:r>
      <w:r w:rsidR="007C204D" w:rsidRPr="007938C2">
        <w:t xml:space="preserve">ew </w:t>
      </w:r>
      <w:r w:rsidR="00775DA3" w:rsidRPr="007938C2">
        <w:t>S</w:t>
      </w:r>
      <w:r w:rsidR="007C204D" w:rsidRPr="007938C2">
        <w:t xml:space="preserve">outh </w:t>
      </w:r>
      <w:r w:rsidR="00775DA3" w:rsidRPr="007938C2">
        <w:t>W</w:t>
      </w:r>
      <w:r w:rsidR="007C204D" w:rsidRPr="007938C2">
        <w:t>ales</w:t>
      </w:r>
      <w:r w:rsidR="00775DA3" w:rsidRPr="007938C2">
        <w:t>. The least impacted state was Western Australia.</w:t>
      </w:r>
    </w:p>
    <w:p w14:paraId="005D4C86" w14:textId="77777777" w:rsidR="009A1DD8" w:rsidRPr="00D204C3" w:rsidRDefault="009A1DD8" w:rsidP="00591B22"/>
    <w:p w14:paraId="499B6B74" w14:textId="71EDADC1" w:rsidR="00591B22" w:rsidRDefault="00591B22" w:rsidP="00591B22">
      <w:r w:rsidRPr="00D204C3">
        <w:rPr>
          <w:rFonts w:cs="AU Sans BETA Text Bold"/>
          <w:b/>
          <w:bCs/>
        </w:rPr>
        <w:t xml:space="preserve">Figure </w:t>
      </w:r>
      <w:r w:rsidR="00280A82">
        <w:rPr>
          <w:rFonts w:cs="AU Sans BETA Text Bold"/>
          <w:b/>
          <w:bCs/>
        </w:rPr>
        <w:t>5</w:t>
      </w:r>
      <w:r w:rsidRPr="00D204C3">
        <w:rPr>
          <w:rFonts w:cs="AU Sans BETA Text Bold"/>
          <w:b/>
          <w:bCs/>
        </w:rPr>
        <w:t>.</w:t>
      </w:r>
      <w:r w:rsidRPr="00D204C3">
        <w:t xml:space="preserve"> Overnight trips and spend by </w:t>
      </w:r>
      <w:r w:rsidR="00B62147" w:rsidRPr="00D204C3">
        <w:t>s</w:t>
      </w:r>
      <w:r w:rsidRPr="00D204C3">
        <w:t>tate</w:t>
      </w:r>
      <w:r w:rsidR="00B62147" w:rsidRPr="00D204C3">
        <w:t xml:space="preserve"> and territory</w:t>
      </w:r>
      <w:r w:rsidRPr="00D204C3">
        <w:t>,</w:t>
      </w:r>
      <w:r w:rsidR="0013397D">
        <w:t xml:space="preserve"> year ending</w:t>
      </w:r>
      <w:r w:rsidRPr="00D204C3">
        <w:t xml:space="preserve"> </w:t>
      </w:r>
      <w:r w:rsidR="00D42FD5">
        <w:t>March</w:t>
      </w:r>
      <w:r w:rsidRPr="00D204C3">
        <w:t xml:space="preserve"> 202</w:t>
      </w:r>
      <w:r w:rsidR="00D42FD5">
        <w:t>2</w:t>
      </w:r>
      <w:r w:rsidRPr="00D204C3">
        <w:rPr>
          <w:rStyle w:val="FootnoteReference"/>
        </w:rPr>
        <w:footnoteReference w:id="2"/>
      </w:r>
      <w:r w:rsidR="007D3B7F" w:rsidRPr="00D204C3">
        <w:t>,</w:t>
      </w:r>
      <w:r w:rsidR="00C27472" w:rsidRPr="00D204C3">
        <w:rPr>
          <w:rStyle w:val="FootnoteReference"/>
        </w:rPr>
        <w:footnoteReference w:id="3"/>
      </w:r>
    </w:p>
    <w:p w14:paraId="7E9BFF8E" w14:textId="1F51240D" w:rsidR="00D42FD5" w:rsidRPr="00D204C3" w:rsidRDefault="00861B23" w:rsidP="00D42FD5">
      <w:pPr>
        <w:jc w:val="center"/>
      </w:pPr>
      <w:r>
        <w:rPr>
          <w:noProof/>
        </w:rPr>
        <w:drawing>
          <wp:inline distT="0" distB="0" distL="0" distR="0" wp14:anchorId="1FC35C9F" wp14:editId="7556E7A1">
            <wp:extent cx="5743575" cy="2810407"/>
            <wp:effectExtent l="0" t="0" r="0" b="9525"/>
            <wp:docPr id="4" name="Picture 4" descr="An image of Australia that illustrates the number of visitors and spend in each state or territory from March 2020 to March 2022. The per cent change on the year ending March 2020 is also shown.&#10;&#10;New South Wales - 24.4 million visitors and $16.7 billion spend, down 35% and 26% respectively&#10;Victoria -  18.2 million visitors and $10.6 billion spend, down 36% and 37% respectively&#10;Queensland - 20.8 million visitors and $17.9 billion spend, down 16% and 6% respectively&#10;South Australia - 5.9 million visitors and $4.4 billion spend, down 24% and 11% respectively&#10;Western Australia - 9.6 million visitors and $8.0 billion spend, down 10% and 5% respectively&#10;Tasmania - 2.6 million visitors and $2.7 billion spend, down 15% and 7% respectively&#10;Northern Territory - 1.3 million visitors and $1.9 billion spend, down 25% and 10% respectively&#10;ACT - 1.8 million visitors and $1.1 billion spend, both dow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Australia that illustrates the number of visitors and spend in each state or territory from March 2020 to March 2022. The per cent change on the year ending March 2020 is also shown.&#10;&#10;New South Wales - 24.4 million visitors and $16.7 billion spend, down 35% and 26% respectively&#10;Victoria -  18.2 million visitors and $10.6 billion spend, down 36% and 37% respectively&#10;Queensland - 20.8 million visitors and $17.9 billion spend, down 16% and 6% respectively&#10;South Australia - 5.9 million visitors and $4.4 billion spend, down 24% and 11% respectively&#10;Western Australia - 9.6 million visitors and $8.0 billion spend, down 10% and 5% respectively&#10;Tasmania - 2.6 million visitors and $2.7 billion spend, down 15% and 7% respectively&#10;Northern Territory - 1.3 million visitors and $1.9 billion spend, down 25% and 10% respectively&#10;ACT - 1.8 million visitors and $1.1 billion spend, both down 42%"/>
                    <pic:cNvPicPr/>
                  </pic:nvPicPr>
                  <pic:blipFill>
                    <a:blip r:embed="rId21"/>
                    <a:stretch>
                      <a:fillRect/>
                    </a:stretch>
                  </pic:blipFill>
                  <pic:spPr>
                    <a:xfrm>
                      <a:off x="0" y="0"/>
                      <a:ext cx="5748591" cy="2812861"/>
                    </a:xfrm>
                    <a:prstGeom prst="rect">
                      <a:avLst/>
                    </a:prstGeom>
                  </pic:spPr>
                </pic:pic>
              </a:graphicData>
            </a:graphic>
          </wp:inline>
        </w:drawing>
      </w:r>
    </w:p>
    <w:p w14:paraId="7DC431DE" w14:textId="37BEBD58" w:rsidR="00591B22" w:rsidRPr="00D204C3" w:rsidRDefault="00591B22" w:rsidP="00591B22"/>
    <w:p w14:paraId="31EB6580" w14:textId="1BA5C294" w:rsidR="009A1DD8" w:rsidRDefault="009A1DD8" w:rsidP="00591B22">
      <w:pPr>
        <w:pStyle w:val="Caption"/>
      </w:pPr>
    </w:p>
    <w:p w14:paraId="7058C28A" w14:textId="182C1ADA" w:rsidR="00827F3F" w:rsidRDefault="00827F3F" w:rsidP="00827F3F"/>
    <w:p w14:paraId="2210A425" w14:textId="7A8FC015" w:rsidR="007938C2" w:rsidRPr="00D42FD5" w:rsidRDefault="007938C2" w:rsidP="00D42FD5"/>
    <w:p w14:paraId="320D3AD3" w14:textId="4096786F" w:rsidR="00827F3F" w:rsidRDefault="00827F3F" w:rsidP="00827F3F"/>
    <w:p w14:paraId="6797149C" w14:textId="29FEA028" w:rsidR="00827F3F" w:rsidRDefault="00827F3F" w:rsidP="00827F3F"/>
    <w:p w14:paraId="2852DF32" w14:textId="0E4951A4" w:rsidR="00827F3F" w:rsidRDefault="00827F3F" w:rsidP="00827F3F"/>
    <w:p w14:paraId="2BE2841A" w14:textId="3544D11F" w:rsidR="00827F3F" w:rsidRDefault="00827F3F" w:rsidP="00827F3F"/>
    <w:p w14:paraId="2C175AF2" w14:textId="1708B0BC" w:rsidR="00942705" w:rsidRDefault="00942705" w:rsidP="00827F3F"/>
    <w:p w14:paraId="4370E653" w14:textId="5D40E9AC" w:rsidR="00942705" w:rsidRDefault="00942705" w:rsidP="00827F3F"/>
    <w:p w14:paraId="1E515E6D" w14:textId="32A04780" w:rsidR="00942705" w:rsidRDefault="00942705" w:rsidP="00827F3F"/>
    <w:p w14:paraId="49E3D36A" w14:textId="44326226" w:rsidR="00942705" w:rsidRDefault="00942705" w:rsidP="00827F3F"/>
    <w:p w14:paraId="5BEC2112" w14:textId="0CBDA481" w:rsidR="00942705" w:rsidRDefault="00942705" w:rsidP="00827F3F"/>
    <w:p w14:paraId="625CB118" w14:textId="1902C375" w:rsidR="00942705" w:rsidRDefault="00942705" w:rsidP="00827F3F"/>
    <w:p w14:paraId="1A111BE6" w14:textId="1D680978" w:rsidR="00942705" w:rsidRDefault="00942705" w:rsidP="00827F3F"/>
    <w:p w14:paraId="3B3FFBF0" w14:textId="20B0FAA2" w:rsidR="00942705" w:rsidRDefault="00942705" w:rsidP="00827F3F"/>
    <w:p w14:paraId="408BE787" w14:textId="523DF53E" w:rsidR="00942705" w:rsidRDefault="00942705" w:rsidP="00827F3F"/>
    <w:p w14:paraId="2DF62524" w14:textId="56FB92D8" w:rsidR="00942705" w:rsidRDefault="00942705" w:rsidP="00827F3F"/>
    <w:p w14:paraId="0C3D4E3A" w14:textId="26EEADCF" w:rsidR="00942705" w:rsidRDefault="00942705" w:rsidP="00827F3F"/>
    <w:p w14:paraId="2D8EB485" w14:textId="56B00F62" w:rsidR="00942705" w:rsidRDefault="00942705" w:rsidP="00827F3F"/>
    <w:p w14:paraId="3B4AFDDD" w14:textId="46F9EA44" w:rsidR="00942705" w:rsidRDefault="00942705" w:rsidP="00827F3F"/>
    <w:p w14:paraId="7C9D0A84" w14:textId="2FA965A9" w:rsidR="00942705" w:rsidRDefault="00942705" w:rsidP="00827F3F"/>
    <w:p w14:paraId="10ADDA0A" w14:textId="78927CB5" w:rsidR="00942705" w:rsidRDefault="00942705" w:rsidP="00827F3F"/>
    <w:p w14:paraId="26C72C1C" w14:textId="41F3E77E" w:rsidR="00942705" w:rsidRDefault="00942705" w:rsidP="00827F3F"/>
    <w:p w14:paraId="4504A4E4" w14:textId="5E3689AE" w:rsidR="00942705" w:rsidRDefault="00942705" w:rsidP="00827F3F"/>
    <w:p w14:paraId="6D4CC3A8" w14:textId="34FAF001" w:rsidR="00942705" w:rsidRDefault="00942705" w:rsidP="00827F3F"/>
    <w:p w14:paraId="19D62677" w14:textId="478E5D60" w:rsidR="00942705" w:rsidRDefault="00942705" w:rsidP="00827F3F"/>
    <w:p w14:paraId="3BA103EB" w14:textId="2B201242" w:rsidR="00942705" w:rsidRDefault="00942705" w:rsidP="00827F3F"/>
    <w:p w14:paraId="0869372F" w14:textId="4776CB4F" w:rsidR="00942705" w:rsidRDefault="00942705" w:rsidP="00827F3F"/>
    <w:p w14:paraId="3362693F" w14:textId="616C5DAB" w:rsidR="00942705" w:rsidRDefault="00942705" w:rsidP="00827F3F"/>
    <w:p w14:paraId="1552436A" w14:textId="0FF0E844" w:rsidR="00942705" w:rsidRDefault="00942705" w:rsidP="00827F3F"/>
    <w:p w14:paraId="280B395E" w14:textId="77777777" w:rsidR="00942705" w:rsidRDefault="00942705" w:rsidP="00827F3F"/>
    <w:p w14:paraId="167084BE" w14:textId="77777777" w:rsidR="00827F3F" w:rsidRPr="00827F3F" w:rsidRDefault="00827F3F" w:rsidP="00827F3F"/>
    <w:p w14:paraId="6C0AAC21" w14:textId="5B186137" w:rsidR="00591B22" w:rsidRPr="00D204C3" w:rsidRDefault="00591B22" w:rsidP="00591B22">
      <w:pPr>
        <w:pStyle w:val="Caption"/>
      </w:pPr>
      <w:r w:rsidRPr="00D204C3">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06E1CEE2" w14:textId="707A59F5" w:rsidR="00591B22" w:rsidRPr="00591B22" w:rsidRDefault="00591B22" w:rsidP="00591B22">
      <w:pPr>
        <w:pStyle w:val="Caption"/>
      </w:pPr>
      <w:r w:rsidRPr="00D204C3">
        <w:t>While care has been taken to ensure the information in this report is accurate, the Commonwealth does not accept any liability for any loss arising from reliance on the information, or from any error or omission, in the report.</w:t>
      </w:r>
    </w:p>
    <w:sectPr w:rsidR="00591B22" w:rsidRPr="00591B22" w:rsidSect="004A0D20">
      <w:headerReference w:type="default" r:id="rId22"/>
      <w:footerReference w:type="default" r:id="rId23"/>
      <w:footerReference w:type="first" r:id="rId24"/>
      <w:footnotePr>
        <w:numStart w:val="2"/>
      </w:footnotePr>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7A27A" w14:textId="77777777" w:rsidR="0054060E" w:rsidRDefault="0054060E" w:rsidP="00D52B20">
      <w:pPr>
        <w:spacing w:after="0" w:line="240" w:lineRule="auto"/>
      </w:pPr>
      <w:r>
        <w:separator/>
      </w:r>
    </w:p>
  </w:endnote>
  <w:endnote w:type="continuationSeparator" w:id="0">
    <w:p w14:paraId="369246C4" w14:textId="77777777" w:rsidR="0054060E" w:rsidRDefault="0054060E"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AU Sans BETA Text Medium"/>
    <w:panose1 w:val="00000000000000000000"/>
    <w:charset w:val="00"/>
    <w:family w:val="swiss"/>
    <w:notTrueType/>
    <w:pitch w:val="default"/>
    <w:sig w:usb0="00000003" w:usb1="00000000" w:usb2="00000000" w:usb3="00000000" w:csb0="00000001" w:csb1="00000000"/>
  </w:font>
  <w:font w:name="AU Sans BETA Text Bold">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224D" w14:textId="12EB7FDA" w:rsidR="006B3279" w:rsidRPr="006B3279" w:rsidRDefault="00BC216F" w:rsidP="006B3279">
    <w:pPr>
      <w:pStyle w:val="Footer"/>
    </w:pPr>
    <w:r>
      <w:t xml:space="preserve">NATIONAL VISITOR SURVEY RESULTS – March Quarter 2022,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43B9" w14:textId="17B6D58B" w:rsidR="00B7523B" w:rsidRPr="00B7523B" w:rsidRDefault="00BC216F" w:rsidP="00B7523B">
    <w:pPr>
      <w:pStyle w:val="Footer"/>
    </w:pPr>
    <w:r>
      <w:t>NATIONAL VISITOR SURVEY RESULTS</w:t>
    </w:r>
    <w:r w:rsidR="00750D77">
      <w:t xml:space="preserve"> – </w:t>
    </w:r>
    <w:r>
      <w:t>March Quarter 2022</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38C67" w14:textId="77777777" w:rsidR="0054060E" w:rsidRDefault="0054060E" w:rsidP="00D52B20">
      <w:pPr>
        <w:spacing w:after="0" w:line="240" w:lineRule="auto"/>
      </w:pPr>
    </w:p>
  </w:footnote>
  <w:footnote w:type="continuationSeparator" w:id="0">
    <w:p w14:paraId="7AB3D5E4" w14:textId="77777777" w:rsidR="0054060E" w:rsidRDefault="0054060E" w:rsidP="00D52B20">
      <w:pPr>
        <w:spacing w:after="0" w:line="240" w:lineRule="auto"/>
      </w:pPr>
      <w:r>
        <w:continuationSeparator/>
      </w:r>
    </w:p>
  </w:footnote>
  <w:footnote w:id="1">
    <w:p w14:paraId="74F2E385" w14:textId="77777777" w:rsidR="002A1B3E" w:rsidRPr="00C0062D" w:rsidRDefault="002A1B3E" w:rsidP="002A1B3E">
      <w:pPr>
        <w:pStyle w:val="FootnoteText"/>
        <w:rPr>
          <w:rStyle w:val="FootnoteReference"/>
          <w:sz w:val="14"/>
          <w:szCs w:val="14"/>
          <w:vertAlign w:val="baseline"/>
        </w:rPr>
      </w:pPr>
      <w:r w:rsidRPr="00942705">
        <w:rPr>
          <w:rStyle w:val="FootnoteReference"/>
        </w:rPr>
        <w:t xml:space="preserve">2 </w:t>
      </w:r>
      <w:r w:rsidRPr="00C0062D">
        <w:rPr>
          <w:rStyle w:val="FootnoteReference"/>
          <w:sz w:val="14"/>
          <w:szCs w:val="14"/>
          <w:vertAlign w:val="baseline"/>
        </w:rPr>
        <w:t xml:space="preserve">The summing of individual months may result in slight differences due to rounding and weighting variations. </w:t>
      </w:r>
    </w:p>
    <w:p w14:paraId="250F5590" w14:textId="77777777" w:rsidR="002A1B3E" w:rsidRDefault="002A1B3E" w:rsidP="002A1B3E">
      <w:pPr>
        <w:pStyle w:val="FootnoteText"/>
      </w:pPr>
    </w:p>
  </w:footnote>
  <w:footnote w:id="2">
    <w:p w14:paraId="032F0A1E" w14:textId="5FC987B2" w:rsidR="00591B22" w:rsidRPr="00591B22" w:rsidRDefault="00591B22" w:rsidP="00C27472">
      <w:pPr>
        <w:pStyle w:val="FootnoteText"/>
        <w:rPr>
          <w:rFonts w:cs="AU Sans BETA Text Light"/>
          <w:color w:val="000000"/>
          <w:sz w:val="14"/>
          <w:szCs w:val="14"/>
        </w:rPr>
      </w:pPr>
      <w:r>
        <w:rPr>
          <w:rStyle w:val="FootnoteReference"/>
        </w:rPr>
        <w:footnoteRef/>
      </w:r>
      <w:r>
        <w:t xml:space="preserve"> </w:t>
      </w:r>
      <w:r>
        <w:rPr>
          <w:rFonts w:cs="AU Sans BETA Text Light"/>
          <w:color w:val="000000"/>
          <w:sz w:val="14"/>
          <w:szCs w:val="14"/>
        </w:rPr>
        <w:t xml:space="preserve">The sum of the total number of visitors for each state will be greater than the total number of visitors for Australia due to individuals who visited more than one state. </w:t>
      </w:r>
    </w:p>
  </w:footnote>
  <w:footnote w:id="3">
    <w:p w14:paraId="72E6499C" w14:textId="073A8DB4" w:rsidR="00C27472" w:rsidRDefault="00C27472">
      <w:pPr>
        <w:pStyle w:val="FootnoteText"/>
      </w:pPr>
      <w:r>
        <w:rPr>
          <w:rStyle w:val="FootnoteReference"/>
        </w:rPr>
        <w:footnoteRef/>
      </w:r>
      <w:r>
        <w:t xml:space="preserve"> </w:t>
      </w:r>
      <w:bookmarkStart w:id="1" w:name="_Hlk107392374"/>
      <w:r>
        <w:rPr>
          <w:rFonts w:cs="AU Sans BETA Text Light"/>
          <w:color w:val="000000"/>
          <w:sz w:val="14"/>
          <w:szCs w:val="14"/>
        </w:rPr>
        <w:t xml:space="preserve">As the results for </w:t>
      </w:r>
      <w:r w:rsidR="000F0BED">
        <w:rPr>
          <w:rFonts w:cs="AU Sans BETA Text Light"/>
          <w:color w:val="000000"/>
          <w:sz w:val="14"/>
          <w:szCs w:val="14"/>
        </w:rPr>
        <w:t xml:space="preserve">year ending March </w:t>
      </w:r>
      <w:r>
        <w:rPr>
          <w:rFonts w:cs="AU Sans BETA Text Light"/>
          <w:color w:val="000000"/>
          <w:sz w:val="14"/>
          <w:szCs w:val="14"/>
        </w:rPr>
        <w:t>202</w:t>
      </w:r>
      <w:r w:rsidR="000F0BED">
        <w:rPr>
          <w:rFonts w:cs="AU Sans BETA Text Light"/>
          <w:color w:val="000000"/>
          <w:sz w:val="14"/>
          <w:szCs w:val="14"/>
        </w:rPr>
        <w:t>1</w:t>
      </w:r>
      <w:r>
        <w:rPr>
          <w:rFonts w:cs="AU Sans BETA Text Light"/>
          <w:color w:val="000000"/>
          <w:sz w:val="14"/>
          <w:szCs w:val="14"/>
        </w:rPr>
        <w:t xml:space="preserve"> were a large deviation from pre-pandemic levels, summary results for 202</w:t>
      </w:r>
      <w:r w:rsidR="000F0BED">
        <w:rPr>
          <w:rFonts w:cs="AU Sans BETA Text Light"/>
          <w:color w:val="000000"/>
          <w:sz w:val="14"/>
          <w:szCs w:val="14"/>
        </w:rPr>
        <w:t>2</w:t>
      </w:r>
      <w:r>
        <w:rPr>
          <w:rFonts w:cs="AU Sans BETA Text Light"/>
          <w:color w:val="000000"/>
          <w:sz w:val="14"/>
          <w:szCs w:val="14"/>
        </w:rPr>
        <w:t xml:space="preserve"> are compared to </w:t>
      </w:r>
      <w:r w:rsidR="000F0BED">
        <w:rPr>
          <w:rFonts w:cs="AU Sans BETA Text Light"/>
          <w:color w:val="000000"/>
          <w:sz w:val="14"/>
          <w:szCs w:val="14"/>
        </w:rPr>
        <w:t xml:space="preserve">year ending March </w:t>
      </w:r>
      <w:r>
        <w:rPr>
          <w:rFonts w:cs="AU Sans BETA Text Light"/>
          <w:color w:val="000000"/>
          <w:sz w:val="14"/>
          <w:szCs w:val="14"/>
        </w:rPr>
        <w:t>20</w:t>
      </w:r>
      <w:r w:rsidR="000F0BED">
        <w:rPr>
          <w:rFonts w:cs="AU Sans BETA Text Light"/>
          <w:color w:val="000000"/>
          <w:sz w:val="14"/>
          <w:szCs w:val="14"/>
        </w:rPr>
        <w:t>20</w:t>
      </w:r>
      <w:r>
        <w:rPr>
          <w:rFonts w:cs="AU Sans BETA Text Light"/>
          <w:color w:val="000000"/>
          <w:sz w:val="14"/>
          <w:szCs w:val="14"/>
        </w:rPr>
        <w:t xml:space="preserve"> pre-COVID periods.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C6FBC6"/>
    <w:multiLevelType w:val="hybridMultilevel"/>
    <w:tmpl w:val="E4D15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A9C82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294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4"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FFFFFF80"/>
    <w:multiLevelType w:val="singleLevel"/>
    <w:tmpl w:val="C5B89E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188A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8"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9" w15:restartNumberingAfterBreak="0">
    <w:nsid w:val="FFFFFF89"/>
    <w:multiLevelType w:val="singleLevel"/>
    <w:tmpl w:val="D96A5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CC6"/>
    <w:multiLevelType w:val="hybridMultilevel"/>
    <w:tmpl w:val="8A0E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2B7D6A"/>
    <w:multiLevelType w:val="hybridMultilevel"/>
    <w:tmpl w:val="487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350424"/>
    <w:multiLevelType w:val="hybridMultilevel"/>
    <w:tmpl w:val="1200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2744BA"/>
    <w:multiLevelType w:val="hybridMultilevel"/>
    <w:tmpl w:val="CE9C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4438DF"/>
    <w:multiLevelType w:val="hybridMultilevel"/>
    <w:tmpl w:val="FCA6F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AB0BD9"/>
    <w:multiLevelType w:val="hybridMultilevel"/>
    <w:tmpl w:val="70EC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680A06"/>
    <w:multiLevelType w:val="hybridMultilevel"/>
    <w:tmpl w:val="986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573C9"/>
    <w:multiLevelType w:val="hybridMultilevel"/>
    <w:tmpl w:val="6780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132C4A"/>
    <w:multiLevelType w:val="hybridMultilevel"/>
    <w:tmpl w:val="9F36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9842436"/>
    <w:multiLevelType w:val="hybridMultilevel"/>
    <w:tmpl w:val="1D12936C"/>
    <w:lvl w:ilvl="0" w:tplc="351CCD4A">
      <w:start w:val="3"/>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B1D5F"/>
    <w:multiLevelType w:val="hybridMultilevel"/>
    <w:tmpl w:val="E7789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87B7E"/>
    <w:multiLevelType w:val="hybridMultilevel"/>
    <w:tmpl w:val="D6AE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2A1545"/>
    <w:multiLevelType w:val="hybridMultilevel"/>
    <w:tmpl w:val="4F04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CB09B3"/>
    <w:multiLevelType w:val="hybridMultilevel"/>
    <w:tmpl w:val="ABA2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E0AD0"/>
    <w:multiLevelType w:val="hybridMultilevel"/>
    <w:tmpl w:val="F48A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ED0362"/>
    <w:multiLevelType w:val="hybridMultilevel"/>
    <w:tmpl w:val="CCC0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7"/>
  </w:num>
  <w:num w:numId="5">
    <w:abstractNumId w:val="6"/>
  </w:num>
  <w:num w:numId="6">
    <w:abstractNumId w:val="5"/>
  </w:num>
  <w:num w:numId="7">
    <w:abstractNumId w:val="21"/>
  </w:num>
  <w:num w:numId="8">
    <w:abstractNumId w:val="4"/>
  </w:num>
  <w:num w:numId="9">
    <w:abstractNumId w:val="3"/>
  </w:num>
  <w:num w:numId="10">
    <w:abstractNumId w:val="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15"/>
  </w:num>
  <w:num w:numId="16">
    <w:abstractNumId w:val="15"/>
  </w:num>
  <w:num w:numId="17">
    <w:abstractNumId w:val="16"/>
  </w:num>
  <w:num w:numId="18">
    <w:abstractNumId w:val="10"/>
  </w:num>
  <w:num w:numId="19">
    <w:abstractNumId w:val="23"/>
  </w:num>
  <w:num w:numId="20">
    <w:abstractNumId w:val="27"/>
  </w:num>
  <w:num w:numId="21">
    <w:abstractNumId w:val="18"/>
  </w:num>
  <w:num w:numId="22">
    <w:abstractNumId w:val="24"/>
  </w:num>
  <w:num w:numId="23">
    <w:abstractNumId w:val="25"/>
  </w:num>
  <w:num w:numId="24">
    <w:abstractNumId w:val="26"/>
  </w:num>
  <w:num w:numId="25">
    <w:abstractNumId w:val="19"/>
  </w:num>
  <w:num w:numId="26">
    <w:abstractNumId w:val="20"/>
  </w:num>
  <w:num w:numId="27">
    <w:abstractNumId w:val="9"/>
  </w:num>
  <w:num w:numId="28">
    <w:abstractNumId w:val="17"/>
  </w:num>
  <w:num w:numId="29">
    <w:abstractNumId w:val="22"/>
  </w:num>
  <w:num w:numId="30">
    <w:abstractNumId w:val="12"/>
  </w:num>
  <w:num w:numId="31">
    <w:abstractNumId w:val="14"/>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7835"/>
    <w:rsid w:val="00007E6F"/>
    <w:rsid w:val="000258DE"/>
    <w:rsid w:val="00055EAC"/>
    <w:rsid w:val="00071E18"/>
    <w:rsid w:val="00080913"/>
    <w:rsid w:val="00080E22"/>
    <w:rsid w:val="00082067"/>
    <w:rsid w:val="00086C3F"/>
    <w:rsid w:val="00096ED6"/>
    <w:rsid w:val="000B1F2F"/>
    <w:rsid w:val="000B627D"/>
    <w:rsid w:val="000C43BC"/>
    <w:rsid w:val="000D05DD"/>
    <w:rsid w:val="000D11ED"/>
    <w:rsid w:val="000D291A"/>
    <w:rsid w:val="000D4D84"/>
    <w:rsid w:val="000E7BA2"/>
    <w:rsid w:val="000F0BED"/>
    <w:rsid w:val="000F1352"/>
    <w:rsid w:val="000F3126"/>
    <w:rsid w:val="000F3F9A"/>
    <w:rsid w:val="000F5777"/>
    <w:rsid w:val="0010593E"/>
    <w:rsid w:val="00106927"/>
    <w:rsid w:val="00110B6B"/>
    <w:rsid w:val="00111C50"/>
    <w:rsid w:val="00113B87"/>
    <w:rsid w:val="00121799"/>
    <w:rsid w:val="00132683"/>
    <w:rsid w:val="0013397D"/>
    <w:rsid w:val="0013590D"/>
    <w:rsid w:val="001401BD"/>
    <w:rsid w:val="001412FD"/>
    <w:rsid w:val="0016215E"/>
    <w:rsid w:val="00165E47"/>
    <w:rsid w:val="00167250"/>
    <w:rsid w:val="00171585"/>
    <w:rsid w:val="00174A50"/>
    <w:rsid w:val="00174B20"/>
    <w:rsid w:val="00176A44"/>
    <w:rsid w:val="00177AC9"/>
    <w:rsid w:val="00180FF0"/>
    <w:rsid w:val="00194AE7"/>
    <w:rsid w:val="001A333C"/>
    <w:rsid w:val="001A50D9"/>
    <w:rsid w:val="001B3311"/>
    <w:rsid w:val="001B7065"/>
    <w:rsid w:val="001C2C56"/>
    <w:rsid w:val="001C43A2"/>
    <w:rsid w:val="001E0769"/>
    <w:rsid w:val="001E1037"/>
    <w:rsid w:val="001E33B7"/>
    <w:rsid w:val="001F5A0A"/>
    <w:rsid w:val="00200A49"/>
    <w:rsid w:val="002012F6"/>
    <w:rsid w:val="0020657C"/>
    <w:rsid w:val="0020670F"/>
    <w:rsid w:val="00215D34"/>
    <w:rsid w:val="00223B2F"/>
    <w:rsid w:val="00223B43"/>
    <w:rsid w:val="002259D6"/>
    <w:rsid w:val="002312D1"/>
    <w:rsid w:val="002340D4"/>
    <w:rsid w:val="002376C5"/>
    <w:rsid w:val="00241C1A"/>
    <w:rsid w:val="00255B47"/>
    <w:rsid w:val="00273412"/>
    <w:rsid w:val="00274E7F"/>
    <w:rsid w:val="002771A0"/>
    <w:rsid w:val="00277B6D"/>
    <w:rsid w:val="00280A82"/>
    <w:rsid w:val="002864E8"/>
    <w:rsid w:val="002A1B3E"/>
    <w:rsid w:val="002B64CF"/>
    <w:rsid w:val="002C0E46"/>
    <w:rsid w:val="002C1647"/>
    <w:rsid w:val="002C44EA"/>
    <w:rsid w:val="002D1005"/>
    <w:rsid w:val="002D1F99"/>
    <w:rsid w:val="002D2648"/>
    <w:rsid w:val="002D27F1"/>
    <w:rsid w:val="002D7EDD"/>
    <w:rsid w:val="002E0AC1"/>
    <w:rsid w:val="002E48C1"/>
    <w:rsid w:val="002F0987"/>
    <w:rsid w:val="002F35A2"/>
    <w:rsid w:val="002F4B83"/>
    <w:rsid w:val="002F5987"/>
    <w:rsid w:val="00311FA7"/>
    <w:rsid w:val="003202E6"/>
    <w:rsid w:val="00340D9C"/>
    <w:rsid w:val="00343D07"/>
    <w:rsid w:val="00343F90"/>
    <w:rsid w:val="003573C9"/>
    <w:rsid w:val="003616C0"/>
    <w:rsid w:val="00374CF6"/>
    <w:rsid w:val="00375265"/>
    <w:rsid w:val="00376485"/>
    <w:rsid w:val="00377D1C"/>
    <w:rsid w:val="0038333D"/>
    <w:rsid w:val="00386C13"/>
    <w:rsid w:val="003959B0"/>
    <w:rsid w:val="00397239"/>
    <w:rsid w:val="003A04F7"/>
    <w:rsid w:val="003A427A"/>
    <w:rsid w:val="003A7509"/>
    <w:rsid w:val="003B24E8"/>
    <w:rsid w:val="003C3EE7"/>
    <w:rsid w:val="003D5FE0"/>
    <w:rsid w:val="003E704E"/>
    <w:rsid w:val="00420E6E"/>
    <w:rsid w:val="0042201B"/>
    <w:rsid w:val="004316FE"/>
    <w:rsid w:val="0043585B"/>
    <w:rsid w:val="00442733"/>
    <w:rsid w:val="00444B7B"/>
    <w:rsid w:val="00452B90"/>
    <w:rsid w:val="00454D44"/>
    <w:rsid w:val="0046114D"/>
    <w:rsid w:val="00462CFD"/>
    <w:rsid w:val="00465848"/>
    <w:rsid w:val="004736F2"/>
    <w:rsid w:val="00477089"/>
    <w:rsid w:val="004816B1"/>
    <w:rsid w:val="00491EBC"/>
    <w:rsid w:val="00491F26"/>
    <w:rsid w:val="004A01B1"/>
    <w:rsid w:val="004A0D20"/>
    <w:rsid w:val="004A5042"/>
    <w:rsid w:val="004B2FDC"/>
    <w:rsid w:val="004B6969"/>
    <w:rsid w:val="004B7DF6"/>
    <w:rsid w:val="004F5C4D"/>
    <w:rsid w:val="00505091"/>
    <w:rsid w:val="0051222F"/>
    <w:rsid w:val="00513F6D"/>
    <w:rsid w:val="00515C54"/>
    <w:rsid w:val="00523CFF"/>
    <w:rsid w:val="005306C9"/>
    <w:rsid w:val="0054060E"/>
    <w:rsid w:val="0054151E"/>
    <w:rsid w:val="005435AF"/>
    <w:rsid w:val="00544F35"/>
    <w:rsid w:val="00554137"/>
    <w:rsid w:val="00556BE4"/>
    <w:rsid w:val="005604E3"/>
    <w:rsid w:val="005648C7"/>
    <w:rsid w:val="00572276"/>
    <w:rsid w:val="00590E7C"/>
    <w:rsid w:val="0059110F"/>
    <w:rsid w:val="00591B22"/>
    <w:rsid w:val="00594767"/>
    <w:rsid w:val="005A160D"/>
    <w:rsid w:val="005A324E"/>
    <w:rsid w:val="005D2F98"/>
    <w:rsid w:val="005E060D"/>
    <w:rsid w:val="005F6C65"/>
    <w:rsid w:val="005F7D19"/>
    <w:rsid w:val="00600F2D"/>
    <w:rsid w:val="00610CDC"/>
    <w:rsid w:val="0061300D"/>
    <w:rsid w:val="006145A0"/>
    <w:rsid w:val="00621484"/>
    <w:rsid w:val="00627C77"/>
    <w:rsid w:val="00627FEF"/>
    <w:rsid w:val="006314E7"/>
    <w:rsid w:val="00633A13"/>
    <w:rsid w:val="006351EF"/>
    <w:rsid w:val="00637B8C"/>
    <w:rsid w:val="00647085"/>
    <w:rsid w:val="00647903"/>
    <w:rsid w:val="00653FDB"/>
    <w:rsid w:val="006571DF"/>
    <w:rsid w:val="00657547"/>
    <w:rsid w:val="00663FCF"/>
    <w:rsid w:val="00673853"/>
    <w:rsid w:val="00691270"/>
    <w:rsid w:val="00693636"/>
    <w:rsid w:val="0069564C"/>
    <w:rsid w:val="006A2908"/>
    <w:rsid w:val="006A7BE1"/>
    <w:rsid w:val="006B1417"/>
    <w:rsid w:val="006B1491"/>
    <w:rsid w:val="006B3279"/>
    <w:rsid w:val="006E39F9"/>
    <w:rsid w:val="006E6D55"/>
    <w:rsid w:val="00705E50"/>
    <w:rsid w:val="00713D0D"/>
    <w:rsid w:val="00714245"/>
    <w:rsid w:val="00714F76"/>
    <w:rsid w:val="00725A6A"/>
    <w:rsid w:val="0073556D"/>
    <w:rsid w:val="00746531"/>
    <w:rsid w:val="00750D77"/>
    <w:rsid w:val="00757E37"/>
    <w:rsid w:val="00761737"/>
    <w:rsid w:val="0076509D"/>
    <w:rsid w:val="007700BC"/>
    <w:rsid w:val="00775DA3"/>
    <w:rsid w:val="007761C7"/>
    <w:rsid w:val="00780CAB"/>
    <w:rsid w:val="00785A6B"/>
    <w:rsid w:val="00792C81"/>
    <w:rsid w:val="007938C2"/>
    <w:rsid w:val="00795B31"/>
    <w:rsid w:val="007A11B5"/>
    <w:rsid w:val="007A23CF"/>
    <w:rsid w:val="007A2FE1"/>
    <w:rsid w:val="007B489C"/>
    <w:rsid w:val="007B7319"/>
    <w:rsid w:val="007C07F4"/>
    <w:rsid w:val="007C204D"/>
    <w:rsid w:val="007D3B7F"/>
    <w:rsid w:val="007E331A"/>
    <w:rsid w:val="007F7251"/>
    <w:rsid w:val="008031B8"/>
    <w:rsid w:val="0080458A"/>
    <w:rsid w:val="00811115"/>
    <w:rsid w:val="00822182"/>
    <w:rsid w:val="00827F3F"/>
    <w:rsid w:val="008368F4"/>
    <w:rsid w:val="0085241C"/>
    <w:rsid w:val="008541C7"/>
    <w:rsid w:val="00857792"/>
    <w:rsid w:val="0086127C"/>
    <w:rsid w:val="00861B23"/>
    <w:rsid w:val="008625F4"/>
    <w:rsid w:val="00873B9B"/>
    <w:rsid w:val="00892EA3"/>
    <w:rsid w:val="00893451"/>
    <w:rsid w:val="00896858"/>
    <w:rsid w:val="008A38A1"/>
    <w:rsid w:val="008C581E"/>
    <w:rsid w:val="008C6848"/>
    <w:rsid w:val="008D4FE2"/>
    <w:rsid w:val="008E1D7B"/>
    <w:rsid w:val="008E47E7"/>
    <w:rsid w:val="009006E5"/>
    <w:rsid w:val="00905818"/>
    <w:rsid w:val="00920CA4"/>
    <w:rsid w:val="009344F1"/>
    <w:rsid w:val="00935EA7"/>
    <w:rsid w:val="00942592"/>
    <w:rsid w:val="00942705"/>
    <w:rsid w:val="00950DF6"/>
    <w:rsid w:val="00953277"/>
    <w:rsid w:val="00954701"/>
    <w:rsid w:val="00954865"/>
    <w:rsid w:val="009562EB"/>
    <w:rsid w:val="00965359"/>
    <w:rsid w:val="00966202"/>
    <w:rsid w:val="00973EA6"/>
    <w:rsid w:val="0098217F"/>
    <w:rsid w:val="00983573"/>
    <w:rsid w:val="0098798C"/>
    <w:rsid w:val="009A0B20"/>
    <w:rsid w:val="009A1DD8"/>
    <w:rsid w:val="009B3879"/>
    <w:rsid w:val="009C3795"/>
    <w:rsid w:val="009C679D"/>
    <w:rsid w:val="009F0527"/>
    <w:rsid w:val="009F11B6"/>
    <w:rsid w:val="00A04343"/>
    <w:rsid w:val="00A14C58"/>
    <w:rsid w:val="00A169CE"/>
    <w:rsid w:val="00A35908"/>
    <w:rsid w:val="00A46B9F"/>
    <w:rsid w:val="00A50959"/>
    <w:rsid w:val="00A56FE6"/>
    <w:rsid w:val="00A5786C"/>
    <w:rsid w:val="00A86422"/>
    <w:rsid w:val="00A95C2D"/>
    <w:rsid w:val="00AA00CE"/>
    <w:rsid w:val="00AA286D"/>
    <w:rsid w:val="00AB438B"/>
    <w:rsid w:val="00AC25D4"/>
    <w:rsid w:val="00AC514A"/>
    <w:rsid w:val="00AD192D"/>
    <w:rsid w:val="00AD697A"/>
    <w:rsid w:val="00AD7809"/>
    <w:rsid w:val="00AE0B25"/>
    <w:rsid w:val="00AF6EBD"/>
    <w:rsid w:val="00B163B1"/>
    <w:rsid w:val="00B3152A"/>
    <w:rsid w:val="00B434F1"/>
    <w:rsid w:val="00B44D3E"/>
    <w:rsid w:val="00B45D31"/>
    <w:rsid w:val="00B511CF"/>
    <w:rsid w:val="00B5178F"/>
    <w:rsid w:val="00B51C7B"/>
    <w:rsid w:val="00B522E1"/>
    <w:rsid w:val="00B54EA3"/>
    <w:rsid w:val="00B56C33"/>
    <w:rsid w:val="00B60885"/>
    <w:rsid w:val="00B62147"/>
    <w:rsid w:val="00B70076"/>
    <w:rsid w:val="00B71E33"/>
    <w:rsid w:val="00B7523B"/>
    <w:rsid w:val="00B81331"/>
    <w:rsid w:val="00B82769"/>
    <w:rsid w:val="00B84EFF"/>
    <w:rsid w:val="00B92789"/>
    <w:rsid w:val="00B94C35"/>
    <w:rsid w:val="00B96FF7"/>
    <w:rsid w:val="00BA2A4E"/>
    <w:rsid w:val="00BC17CB"/>
    <w:rsid w:val="00BC216F"/>
    <w:rsid w:val="00BC7621"/>
    <w:rsid w:val="00BE29EB"/>
    <w:rsid w:val="00BE5776"/>
    <w:rsid w:val="00C0062D"/>
    <w:rsid w:val="00C2611E"/>
    <w:rsid w:val="00C27472"/>
    <w:rsid w:val="00C33E9A"/>
    <w:rsid w:val="00C41A75"/>
    <w:rsid w:val="00C46FBD"/>
    <w:rsid w:val="00C501CD"/>
    <w:rsid w:val="00C55361"/>
    <w:rsid w:val="00C558DB"/>
    <w:rsid w:val="00C736CD"/>
    <w:rsid w:val="00C75C73"/>
    <w:rsid w:val="00C97972"/>
    <w:rsid w:val="00CA0F59"/>
    <w:rsid w:val="00CA7BF2"/>
    <w:rsid w:val="00CB2236"/>
    <w:rsid w:val="00CC16B3"/>
    <w:rsid w:val="00CC1F0B"/>
    <w:rsid w:val="00CD3DC9"/>
    <w:rsid w:val="00CF24AA"/>
    <w:rsid w:val="00CF363B"/>
    <w:rsid w:val="00D00E6E"/>
    <w:rsid w:val="00D01BF8"/>
    <w:rsid w:val="00D041E2"/>
    <w:rsid w:val="00D14600"/>
    <w:rsid w:val="00D204C3"/>
    <w:rsid w:val="00D2782A"/>
    <w:rsid w:val="00D30FA4"/>
    <w:rsid w:val="00D31C36"/>
    <w:rsid w:val="00D32FEA"/>
    <w:rsid w:val="00D372C9"/>
    <w:rsid w:val="00D42F64"/>
    <w:rsid w:val="00D42FD5"/>
    <w:rsid w:val="00D46AE6"/>
    <w:rsid w:val="00D52B20"/>
    <w:rsid w:val="00D53465"/>
    <w:rsid w:val="00D53ADE"/>
    <w:rsid w:val="00D63C9B"/>
    <w:rsid w:val="00D65FFD"/>
    <w:rsid w:val="00D670F5"/>
    <w:rsid w:val="00D76594"/>
    <w:rsid w:val="00D7676C"/>
    <w:rsid w:val="00D86BAF"/>
    <w:rsid w:val="00D91189"/>
    <w:rsid w:val="00D93D39"/>
    <w:rsid w:val="00D95368"/>
    <w:rsid w:val="00DA0CE4"/>
    <w:rsid w:val="00DC534C"/>
    <w:rsid w:val="00DD2BDE"/>
    <w:rsid w:val="00DD3014"/>
    <w:rsid w:val="00DD7324"/>
    <w:rsid w:val="00DE0314"/>
    <w:rsid w:val="00DE06D1"/>
    <w:rsid w:val="00DE439F"/>
    <w:rsid w:val="00DF172A"/>
    <w:rsid w:val="00DF52C5"/>
    <w:rsid w:val="00E0072B"/>
    <w:rsid w:val="00E03846"/>
    <w:rsid w:val="00E04B0C"/>
    <w:rsid w:val="00E121E3"/>
    <w:rsid w:val="00E24CEB"/>
    <w:rsid w:val="00E24F8B"/>
    <w:rsid w:val="00E2779A"/>
    <w:rsid w:val="00E31522"/>
    <w:rsid w:val="00E41E92"/>
    <w:rsid w:val="00E42ABF"/>
    <w:rsid w:val="00E44EBC"/>
    <w:rsid w:val="00E500AC"/>
    <w:rsid w:val="00E630AD"/>
    <w:rsid w:val="00E63726"/>
    <w:rsid w:val="00E6784B"/>
    <w:rsid w:val="00E67AF9"/>
    <w:rsid w:val="00E70B43"/>
    <w:rsid w:val="00E75D78"/>
    <w:rsid w:val="00E85BCC"/>
    <w:rsid w:val="00E93D24"/>
    <w:rsid w:val="00E94643"/>
    <w:rsid w:val="00EA0E17"/>
    <w:rsid w:val="00EA1A25"/>
    <w:rsid w:val="00EB55D9"/>
    <w:rsid w:val="00EC22BF"/>
    <w:rsid w:val="00EC4480"/>
    <w:rsid w:val="00EC46CE"/>
    <w:rsid w:val="00ED6F02"/>
    <w:rsid w:val="00EE3B68"/>
    <w:rsid w:val="00EF089C"/>
    <w:rsid w:val="00EF1CD9"/>
    <w:rsid w:val="00EF2D70"/>
    <w:rsid w:val="00EF2E35"/>
    <w:rsid w:val="00EF75DC"/>
    <w:rsid w:val="00F06DC6"/>
    <w:rsid w:val="00F10B6D"/>
    <w:rsid w:val="00F10FAE"/>
    <w:rsid w:val="00F16160"/>
    <w:rsid w:val="00F21968"/>
    <w:rsid w:val="00F2507F"/>
    <w:rsid w:val="00F32461"/>
    <w:rsid w:val="00F34D84"/>
    <w:rsid w:val="00F5033A"/>
    <w:rsid w:val="00F51B12"/>
    <w:rsid w:val="00F63E73"/>
    <w:rsid w:val="00F73C0E"/>
    <w:rsid w:val="00F84EB8"/>
    <w:rsid w:val="00FA2422"/>
    <w:rsid w:val="00FA27DF"/>
    <w:rsid w:val="00FA6EDB"/>
    <w:rsid w:val="00FA77C7"/>
    <w:rsid w:val="00FB1257"/>
    <w:rsid w:val="00FD28C3"/>
    <w:rsid w:val="00FD403E"/>
    <w:rsid w:val="00FD62A3"/>
    <w:rsid w:val="00FE41C6"/>
    <w:rsid w:val="00FF173F"/>
    <w:rsid w:val="00FF4F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2C5"/>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semiHidden/>
    <w:unhideWhenUsed/>
    <w:rsid w:val="008541C7"/>
    <w:pPr>
      <w:spacing w:line="240" w:lineRule="auto"/>
    </w:pPr>
  </w:style>
  <w:style w:type="character" w:customStyle="1" w:styleId="CommentTextChar">
    <w:name w:val="Comment Text Char"/>
    <w:basedOn w:val="DefaultParagraphFont"/>
    <w:link w:val="CommentText"/>
    <w:uiPriority w:val="99"/>
    <w:semiHidden/>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NVS%20Monthly%20Releases%202022\4.%20April%202022\Charts\Chart%204%20&amp;%205%20(Apri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2\1.%20March%20quarter\Charts\Charts%20for%20PDF.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2\1.%20March%20quarter\Total%20Losses%20to%20March%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4'!$B$2</c:f>
              <c:strCache>
                <c:ptCount val="1"/>
                <c:pt idx="0">
                  <c:v>Trips</c:v>
                </c:pt>
              </c:strCache>
            </c:strRef>
          </c:tx>
          <c:spPr>
            <a:solidFill>
              <a:srgbClr val="7A4282"/>
            </a:solidFill>
            <a:ln>
              <a:solidFill>
                <a:srgbClr val="7A4282"/>
              </a:solidFill>
            </a:ln>
            <a:effectLst/>
          </c:spPr>
          <c:invertIfNegative val="0"/>
          <c:cat>
            <c:numRef>
              <c:f>'CHART 4'!$A$5:$A$31</c:f>
              <c:numCache>
                <c:formatCode>mmm\-yy</c:formatCode>
                <c:ptCount val="27"/>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pt idx="24">
                  <c:v>44621</c:v>
                </c:pt>
                <c:pt idx="25">
                  <c:v>44652</c:v>
                </c:pt>
                <c:pt idx="26">
                  <c:v>44682</c:v>
                </c:pt>
              </c:numCache>
            </c:numRef>
          </c:cat>
          <c:val>
            <c:numRef>
              <c:f>'CHART 4'!$B$5:$B$31</c:f>
              <c:numCache>
                <c:formatCode>0.000</c:formatCode>
                <c:ptCount val="27"/>
                <c:pt idx="0">
                  <c:v>6.1159651999999998</c:v>
                </c:pt>
                <c:pt idx="1">
                  <c:v>1.5693406999999999</c:v>
                </c:pt>
                <c:pt idx="2">
                  <c:v>3.0503054999999999</c:v>
                </c:pt>
                <c:pt idx="3">
                  <c:v>5.4075889999999998</c:v>
                </c:pt>
                <c:pt idx="4">
                  <c:v>5.9619999999999997</c:v>
                </c:pt>
                <c:pt idx="5">
                  <c:v>5.1675179</c:v>
                </c:pt>
                <c:pt idx="6">
                  <c:v>5.3653766999999997</c:v>
                </c:pt>
                <c:pt idx="7">
                  <c:v>6.7927207999999997</c:v>
                </c:pt>
                <c:pt idx="8" formatCode="General">
                  <c:v>7.0010000000000003</c:v>
                </c:pt>
                <c:pt idx="9" formatCode="General">
                  <c:v>7.8769999999999998</c:v>
                </c:pt>
                <c:pt idx="10" formatCode="General">
                  <c:v>9.3940000000000001</c:v>
                </c:pt>
                <c:pt idx="11" formatCode="General">
                  <c:v>6.8159999999999998</c:v>
                </c:pt>
                <c:pt idx="12" formatCode="General">
                  <c:v>8.4019999999999992</c:v>
                </c:pt>
                <c:pt idx="13">
                  <c:v>10.1456751</c:v>
                </c:pt>
                <c:pt idx="14">
                  <c:v>8.1777890000000006</c:v>
                </c:pt>
                <c:pt idx="15">
                  <c:v>6.2572736112000005</c:v>
                </c:pt>
                <c:pt idx="16">
                  <c:v>4.9406999999999996</c:v>
                </c:pt>
                <c:pt idx="17">
                  <c:v>3.4306799999999997</c:v>
                </c:pt>
                <c:pt idx="18">
                  <c:v>3.4498319999999998</c:v>
                </c:pt>
                <c:pt idx="19">
                  <c:v>5.2742650000000006</c:v>
                </c:pt>
                <c:pt idx="20">
                  <c:v>7.1545539040000001</c:v>
                </c:pt>
                <c:pt idx="21">
                  <c:v>8.6308359999999986</c:v>
                </c:pt>
                <c:pt idx="22">
                  <c:v>9.2190120000000011</c:v>
                </c:pt>
                <c:pt idx="23">
                  <c:v>7.1020000000000003</c:v>
                </c:pt>
                <c:pt idx="24">
                  <c:v>8.3019999999999996</c:v>
                </c:pt>
              </c:numCache>
            </c:numRef>
          </c:val>
          <c:extLst>
            <c:ext xmlns:c16="http://schemas.microsoft.com/office/drawing/2014/chart" uri="{C3380CC4-5D6E-409C-BE32-E72D297353CC}">
              <c16:uniqueId val="{00000000-A4EB-4DA3-95F3-6FA9846CF69E}"/>
            </c:ext>
          </c:extLst>
        </c:ser>
        <c:dLbls>
          <c:showLegendKey val="0"/>
          <c:showVal val="0"/>
          <c:showCatName val="0"/>
          <c:showSerName val="0"/>
          <c:showPercent val="0"/>
          <c:showBubbleSize val="0"/>
        </c:dLbls>
        <c:gapWidth val="98"/>
        <c:overlap val="-28"/>
        <c:axId val="124390552"/>
        <c:axId val="124677328"/>
      </c:barChart>
      <c:lineChart>
        <c:grouping val="standard"/>
        <c:varyColors val="0"/>
        <c:ser>
          <c:idx val="1"/>
          <c:order val="1"/>
          <c:tx>
            <c:strRef>
              <c:f>'CHART 4'!$C$2</c:f>
              <c:strCache>
                <c:ptCount val="1"/>
                <c:pt idx="0">
                  <c:v>Trip Rate</c:v>
                </c:pt>
              </c:strCache>
            </c:strRef>
          </c:tx>
          <c:spPr>
            <a:ln w="28575" cap="rnd">
              <a:solidFill>
                <a:srgbClr val="2E1A47"/>
              </a:solidFill>
              <a:round/>
            </a:ln>
            <a:effectLst/>
          </c:spPr>
          <c:marker>
            <c:symbol val="none"/>
          </c:marker>
          <c:cat>
            <c:numRef>
              <c:f>'CHART 4'!$A$5:$A$31</c:f>
              <c:numCache>
                <c:formatCode>mmm\-yy</c:formatCode>
                <c:ptCount val="27"/>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pt idx="24">
                  <c:v>44621</c:v>
                </c:pt>
                <c:pt idx="25">
                  <c:v>44652</c:v>
                </c:pt>
                <c:pt idx="26">
                  <c:v>44682</c:v>
                </c:pt>
              </c:numCache>
            </c:numRef>
          </c:cat>
          <c:val>
            <c:numRef>
              <c:f>'CHART 4'!$C$5:$C$31</c:f>
              <c:numCache>
                <c:formatCode>0.00</c:formatCode>
                <c:ptCount val="27"/>
                <c:pt idx="0">
                  <c:v>24.337779447679882</c:v>
                </c:pt>
                <c:pt idx="1">
                  <c:v>9.0523338048090523</c:v>
                </c:pt>
                <c:pt idx="2">
                  <c:v>5.8878944889307583</c:v>
                </c:pt>
                <c:pt idx="3">
                  <c:v>15.258936528369146</c:v>
                </c:pt>
                <c:pt idx="4">
                  <c:v>19.490806223479488</c:v>
                </c:pt>
                <c:pt idx="5">
                  <c:v>16.308769274430045</c:v>
                </c:pt>
                <c:pt idx="6">
                  <c:v>15.800930048481252</c:v>
                </c:pt>
                <c:pt idx="7">
                  <c:v>21.875293014533518</c:v>
                </c:pt>
                <c:pt idx="8">
                  <c:v>21.224732461355529</c:v>
                </c:pt>
                <c:pt idx="9">
                  <c:v>24.321562393550586</c:v>
                </c:pt>
                <c:pt idx="10">
                  <c:v>31.058705469141994</c:v>
                </c:pt>
                <c:pt idx="11">
                  <c:v>25.640482744018634</c:v>
                </c:pt>
                <c:pt idx="12">
                  <c:v>27.436310256653091</c:v>
                </c:pt>
                <c:pt idx="13">
                  <c:v>32.235074190910154</c:v>
                </c:pt>
                <c:pt idx="14">
                  <c:v>28.248803827751196</c:v>
                </c:pt>
                <c:pt idx="15">
                  <c:v>23.536883243771374</c:v>
                </c:pt>
                <c:pt idx="16">
                  <c:v>18.134321269117507</c:v>
                </c:pt>
                <c:pt idx="17">
                  <c:v>11.456365697015489</c:v>
                </c:pt>
                <c:pt idx="18">
                  <c:v>9.8789727442684239</c:v>
                </c:pt>
                <c:pt idx="19">
                  <c:v>13.209177306326197</c:v>
                </c:pt>
                <c:pt idx="20">
                  <c:v>20.711462450592887</c:v>
                </c:pt>
                <c:pt idx="21">
                  <c:v>23.87332521315469</c:v>
                </c:pt>
                <c:pt idx="22">
                  <c:v>31.828763579927571</c:v>
                </c:pt>
                <c:pt idx="23">
                  <c:v>24.803042651453406</c:v>
                </c:pt>
                <c:pt idx="24">
                  <c:v>26.259632483698876</c:v>
                </c:pt>
                <c:pt idx="25">
                  <c:v>30.725003505819657</c:v>
                </c:pt>
                <c:pt idx="26">
                  <c:v>32.183908045977013</c:v>
                </c:pt>
              </c:numCache>
            </c:numRef>
          </c:val>
          <c:smooth val="0"/>
          <c:extLst>
            <c:ext xmlns:c16="http://schemas.microsoft.com/office/drawing/2014/chart" uri="{C3380CC4-5D6E-409C-BE32-E72D297353CC}">
              <c16:uniqueId val="{00000001-A4EB-4DA3-95F3-6FA9846CF69E}"/>
            </c:ext>
          </c:extLst>
        </c:ser>
        <c:dLbls>
          <c:showLegendKey val="0"/>
          <c:showVal val="0"/>
          <c:showCatName val="0"/>
          <c:showSerName val="0"/>
          <c:showPercent val="0"/>
          <c:showBubbleSize val="0"/>
        </c:dLbls>
        <c:marker val="1"/>
        <c:smooth val="0"/>
        <c:axId val="162425936"/>
        <c:axId val="162425552"/>
      </c:lineChart>
      <c:dateAx>
        <c:axId val="12439055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77328"/>
        <c:crosses val="autoZero"/>
        <c:auto val="1"/>
        <c:lblOffset val="100"/>
        <c:baseTimeUnit val="months"/>
      </c:dateAx>
      <c:valAx>
        <c:axId val="124677328"/>
        <c:scaling>
          <c:orientation val="minMax"/>
          <c:max val="14"/>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Trips</a:t>
                </a:r>
                <a:r>
                  <a:rPr lang="en-US" baseline="0"/>
                  <a:t> (millions)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90552"/>
        <c:crosses val="autoZero"/>
        <c:crossBetween val="between"/>
        <c:majorUnit val="2"/>
      </c:valAx>
      <c:valAx>
        <c:axId val="1624255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Trip rate (%)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25936"/>
        <c:crosses val="max"/>
        <c:crossBetween val="between"/>
      </c:valAx>
      <c:dateAx>
        <c:axId val="162425936"/>
        <c:scaling>
          <c:orientation val="minMax"/>
        </c:scaling>
        <c:delete val="1"/>
        <c:axPos val="b"/>
        <c:numFmt formatCode="mmm\-yy" sourceLinked="1"/>
        <c:majorTickMark val="out"/>
        <c:minorTickMark val="none"/>
        <c:tickLblPos val="nextTo"/>
        <c:crossAx val="162425552"/>
        <c:crosses val="autoZero"/>
        <c:auto val="1"/>
        <c:lblOffset val="100"/>
        <c:baseTimeUnit val="months"/>
      </c:dateAx>
      <c:spPr>
        <a:noFill/>
        <a:ln>
          <a:noFill/>
        </a:ln>
        <a:effectLst/>
      </c:spPr>
    </c:plotArea>
    <c:legend>
      <c:legendPos val="b"/>
      <c:layout>
        <c:manualLayout>
          <c:xMode val="edge"/>
          <c:yMode val="edge"/>
          <c:x val="9.0580360835984364E-2"/>
          <c:y val="0.87864658827460895"/>
          <c:w val="0.82265956726755862"/>
          <c:h val="8.95231729986006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76615343750965E-2"/>
          <c:y val="5.2062663073446487E-2"/>
          <c:w val="0.88319884773972357"/>
          <c:h val="0.70118706069916781"/>
        </c:manualLayout>
      </c:layout>
      <c:barChart>
        <c:barDir val="col"/>
        <c:grouping val="clustered"/>
        <c:varyColors val="0"/>
        <c:ser>
          <c:idx val="0"/>
          <c:order val="0"/>
          <c:tx>
            <c:strRef>
              <c:f>'Chart 3'!$A$10</c:f>
              <c:strCache>
                <c:ptCount val="1"/>
                <c:pt idx="0">
                  <c:v>Capital Cities</c:v>
                </c:pt>
              </c:strCache>
            </c:strRef>
          </c:tx>
          <c:spPr>
            <a:solidFill>
              <a:schemeClr val="accent1"/>
            </a:solidFill>
            <a:ln>
              <a:noFill/>
            </a:ln>
            <a:effectLst/>
          </c:spPr>
          <c:invertIfNegative val="0"/>
          <c:cat>
            <c:strRef>
              <c:f>'Chart 3'!$B$9:$N$9</c:f>
              <c:strCache>
                <c:ptCount val="13"/>
                <c:pt idx="0">
                  <c:v>Mar Q19</c:v>
                </c:pt>
                <c:pt idx="1">
                  <c:v>Jun Q19</c:v>
                </c:pt>
                <c:pt idx="2">
                  <c:v>Sep Q19</c:v>
                </c:pt>
                <c:pt idx="3">
                  <c:v>Dec Q19</c:v>
                </c:pt>
                <c:pt idx="4">
                  <c:v>Mar Q20</c:v>
                </c:pt>
                <c:pt idx="5">
                  <c:v>Jun Q20</c:v>
                </c:pt>
                <c:pt idx="6">
                  <c:v>Sep Q20</c:v>
                </c:pt>
                <c:pt idx="7">
                  <c:v>Dec Q20</c:v>
                </c:pt>
                <c:pt idx="8">
                  <c:v>Mar Q21</c:v>
                </c:pt>
                <c:pt idx="9">
                  <c:v>Jun Q21</c:v>
                </c:pt>
                <c:pt idx="10">
                  <c:v>Sep Q21</c:v>
                </c:pt>
                <c:pt idx="11">
                  <c:v>Dec Q21</c:v>
                </c:pt>
                <c:pt idx="12">
                  <c:v>Mar Q22</c:v>
                </c:pt>
              </c:strCache>
            </c:strRef>
          </c:cat>
          <c:val>
            <c:numRef>
              <c:f>'Chart 3'!$B$10:$N$10</c:f>
              <c:numCache>
                <c:formatCode>#,##0</c:formatCode>
                <c:ptCount val="13"/>
                <c:pt idx="0">
                  <c:v>9143</c:v>
                </c:pt>
                <c:pt idx="1">
                  <c:v>9564</c:v>
                </c:pt>
                <c:pt idx="2">
                  <c:v>9970</c:v>
                </c:pt>
                <c:pt idx="3">
                  <c:v>10308</c:v>
                </c:pt>
                <c:pt idx="4">
                  <c:v>8172</c:v>
                </c:pt>
                <c:pt idx="5" formatCode="General">
                  <c:v>976</c:v>
                </c:pt>
                <c:pt idx="6">
                  <c:v>2323</c:v>
                </c:pt>
                <c:pt idx="7">
                  <c:v>4274</c:v>
                </c:pt>
                <c:pt idx="8">
                  <c:v>5912</c:v>
                </c:pt>
                <c:pt idx="9">
                  <c:v>8049</c:v>
                </c:pt>
                <c:pt idx="10">
                  <c:v>2696</c:v>
                </c:pt>
                <c:pt idx="11">
                  <c:v>4716</c:v>
                </c:pt>
                <c:pt idx="12">
                  <c:v>7604</c:v>
                </c:pt>
              </c:numCache>
            </c:numRef>
          </c:val>
          <c:extLst>
            <c:ext xmlns:c16="http://schemas.microsoft.com/office/drawing/2014/chart" uri="{C3380CC4-5D6E-409C-BE32-E72D297353CC}">
              <c16:uniqueId val="{00000000-9B9D-4152-B73B-AA7204FED301}"/>
            </c:ext>
          </c:extLst>
        </c:ser>
        <c:ser>
          <c:idx val="1"/>
          <c:order val="1"/>
          <c:tx>
            <c:strRef>
              <c:f>'Chart 3'!$A$11</c:f>
              <c:strCache>
                <c:ptCount val="1"/>
                <c:pt idx="0">
                  <c:v>Regional Australia</c:v>
                </c:pt>
              </c:strCache>
            </c:strRef>
          </c:tx>
          <c:spPr>
            <a:solidFill>
              <a:schemeClr val="accent2"/>
            </a:solidFill>
            <a:ln>
              <a:noFill/>
            </a:ln>
            <a:effectLst/>
          </c:spPr>
          <c:invertIfNegative val="0"/>
          <c:cat>
            <c:strRef>
              <c:f>'Chart 3'!$B$9:$N$9</c:f>
              <c:strCache>
                <c:ptCount val="13"/>
                <c:pt idx="0">
                  <c:v>Mar Q19</c:v>
                </c:pt>
                <c:pt idx="1">
                  <c:v>Jun Q19</c:v>
                </c:pt>
                <c:pt idx="2">
                  <c:v>Sep Q19</c:v>
                </c:pt>
                <c:pt idx="3">
                  <c:v>Dec Q19</c:v>
                </c:pt>
                <c:pt idx="4">
                  <c:v>Mar Q20</c:v>
                </c:pt>
                <c:pt idx="5">
                  <c:v>Jun Q20</c:v>
                </c:pt>
                <c:pt idx="6">
                  <c:v>Sep Q20</c:v>
                </c:pt>
                <c:pt idx="7">
                  <c:v>Dec Q20</c:v>
                </c:pt>
                <c:pt idx="8">
                  <c:v>Mar Q21</c:v>
                </c:pt>
                <c:pt idx="9">
                  <c:v>Jun Q21</c:v>
                </c:pt>
                <c:pt idx="10">
                  <c:v>Sep Q21</c:v>
                </c:pt>
                <c:pt idx="11">
                  <c:v>Dec Q21</c:v>
                </c:pt>
                <c:pt idx="12">
                  <c:v>Mar Q22</c:v>
                </c:pt>
              </c:strCache>
            </c:strRef>
          </c:cat>
          <c:val>
            <c:numRef>
              <c:f>'Chart 3'!$B$11:$N$11</c:f>
              <c:numCache>
                <c:formatCode>#,##0</c:formatCode>
                <c:ptCount val="13"/>
                <c:pt idx="0">
                  <c:v>10687</c:v>
                </c:pt>
                <c:pt idx="1">
                  <c:v>10045</c:v>
                </c:pt>
                <c:pt idx="2">
                  <c:v>10842</c:v>
                </c:pt>
                <c:pt idx="3">
                  <c:v>10132</c:v>
                </c:pt>
                <c:pt idx="4">
                  <c:v>9718</c:v>
                </c:pt>
                <c:pt idx="5">
                  <c:v>2888</c:v>
                </c:pt>
                <c:pt idx="6">
                  <c:v>7372</c:v>
                </c:pt>
                <c:pt idx="7">
                  <c:v>9918</c:v>
                </c:pt>
                <c:pt idx="8">
                  <c:v>11987</c:v>
                </c:pt>
                <c:pt idx="9">
                  <c:v>11508</c:v>
                </c:pt>
                <c:pt idx="10">
                  <c:v>6603</c:v>
                </c:pt>
                <c:pt idx="11">
                  <c:v>9276</c:v>
                </c:pt>
                <c:pt idx="12">
                  <c:v>12872</c:v>
                </c:pt>
              </c:numCache>
            </c:numRef>
          </c:val>
          <c:extLst>
            <c:ext xmlns:c16="http://schemas.microsoft.com/office/drawing/2014/chart" uri="{C3380CC4-5D6E-409C-BE32-E72D297353CC}">
              <c16:uniqueId val="{00000001-9B9D-4152-B73B-AA7204FED301}"/>
            </c:ext>
          </c:extLst>
        </c:ser>
        <c:dLbls>
          <c:showLegendKey val="0"/>
          <c:showVal val="0"/>
          <c:showCatName val="0"/>
          <c:showSerName val="0"/>
          <c:showPercent val="0"/>
          <c:showBubbleSize val="0"/>
        </c:dLbls>
        <c:gapWidth val="150"/>
        <c:axId val="1257619007"/>
        <c:axId val="1257611103"/>
      </c:barChart>
      <c:lineChart>
        <c:grouping val="standard"/>
        <c:varyColors val="0"/>
        <c:ser>
          <c:idx val="2"/>
          <c:order val="2"/>
          <c:tx>
            <c:strRef>
              <c:f>'Chart 3'!$A$12</c:f>
              <c:strCache>
                <c:ptCount val="1"/>
                <c:pt idx="0">
                  <c:v>Total</c:v>
                </c:pt>
              </c:strCache>
            </c:strRef>
          </c:tx>
          <c:spPr>
            <a:ln w="28575" cap="rnd">
              <a:solidFill>
                <a:schemeClr val="tx1">
                  <a:lumMod val="50000"/>
                  <a:lumOff val="50000"/>
                </a:schemeClr>
              </a:solidFill>
              <a:round/>
            </a:ln>
            <a:effectLst/>
          </c:spPr>
          <c:marker>
            <c:symbol val="none"/>
          </c:marker>
          <c:cat>
            <c:strRef>
              <c:f>'Chart 3'!$B$9:$N$9</c:f>
              <c:strCache>
                <c:ptCount val="13"/>
                <c:pt idx="0">
                  <c:v>Mar Q19</c:v>
                </c:pt>
                <c:pt idx="1">
                  <c:v>Jun Q19</c:v>
                </c:pt>
                <c:pt idx="2">
                  <c:v>Sep Q19</c:v>
                </c:pt>
                <c:pt idx="3">
                  <c:v>Dec Q19</c:v>
                </c:pt>
                <c:pt idx="4">
                  <c:v>Mar Q20</c:v>
                </c:pt>
                <c:pt idx="5">
                  <c:v>Jun Q20</c:v>
                </c:pt>
                <c:pt idx="6">
                  <c:v>Sep Q20</c:v>
                </c:pt>
                <c:pt idx="7">
                  <c:v>Dec Q20</c:v>
                </c:pt>
                <c:pt idx="8">
                  <c:v>Mar Q21</c:v>
                </c:pt>
                <c:pt idx="9">
                  <c:v>Jun Q21</c:v>
                </c:pt>
                <c:pt idx="10">
                  <c:v>Sep Q21</c:v>
                </c:pt>
                <c:pt idx="11">
                  <c:v>Dec Q21</c:v>
                </c:pt>
                <c:pt idx="12">
                  <c:v>Mar Q22</c:v>
                </c:pt>
              </c:strCache>
            </c:strRef>
          </c:cat>
          <c:val>
            <c:numRef>
              <c:f>'Chart 3'!$B$12:$N$12</c:f>
              <c:numCache>
                <c:formatCode>#,##0</c:formatCode>
                <c:ptCount val="13"/>
                <c:pt idx="0">
                  <c:v>19830</c:v>
                </c:pt>
                <c:pt idx="1">
                  <c:v>19609</c:v>
                </c:pt>
                <c:pt idx="2">
                  <c:v>20813</c:v>
                </c:pt>
                <c:pt idx="3">
                  <c:v>20440</c:v>
                </c:pt>
                <c:pt idx="4">
                  <c:v>17890</c:v>
                </c:pt>
                <c:pt idx="5">
                  <c:v>3865</c:v>
                </c:pt>
                <c:pt idx="6">
                  <c:v>9695</c:v>
                </c:pt>
                <c:pt idx="7">
                  <c:v>14192</c:v>
                </c:pt>
                <c:pt idx="8">
                  <c:v>17899</c:v>
                </c:pt>
                <c:pt idx="9">
                  <c:v>19557</c:v>
                </c:pt>
                <c:pt idx="10">
                  <c:v>9300</c:v>
                </c:pt>
                <c:pt idx="11">
                  <c:v>13991</c:v>
                </c:pt>
                <c:pt idx="12">
                  <c:v>20476</c:v>
                </c:pt>
              </c:numCache>
            </c:numRef>
          </c:val>
          <c:smooth val="0"/>
          <c:extLst>
            <c:ext xmlns:c16="http://schemas.microsoft.com/office/drawing/2014/chart" uri="{C3380CC4-5D6E-409C-BE32-E72D297353CC}">
              <c16:uniqueId val="{00000002-9B9D-4152-B73B-AA7204FED301}"/>
            </c:ext>
          </c:extLst>
        </c:ser>
        <c:dLbls>
          <c:showLegendKey val="0"/>
          <c:showVal val="0"/>
          <c:showCatName val="0"/>
          <c:showSerName val="0"/>
          <c:showPercent val="0"/>
          <c:showBubbleSize val="0"/>
        </c:dLbls>
        <c:marker val="1"/>
        <c:smooth val="0"/>
        <c:axId val="1257619007"/>
        <c:axId val="1257611103"/>
      </c:lineChart>
      <c:catAx>
        <c:axId val="125761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7611103"/>
        <c:crosses val="autoZero"/>
        <c:auto val="1"/>
        <c:lblAlgn val="ctr"/>
        <c:lblOffset val="100"/>
        <c:noMultiLvlLbl val="0"/>
      </c:catAx>
      <c:valAx>
        <c:axId val="1257611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$billion</a:t>
                </a:r>
              </a:p>
            </c:rich>
          </c:tx>
          <c:layout>
            <c:manualLayout>
              <c:xMode val="edge"/>
              <c:yMode val="edge"/>
              <c:x val="9.5791154541792177E-3"/>
              <c:y val="0.404910329364822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7619007"/>
        <c:crosses val="autoZero"/>
        <c:crossBetween val="between"/>
        <c:dispUnits>
          <c:builtInUnit val="thousands"/>
        </c:dispUnits>
      </c:valAx>
      <c:spPr>
        <a:noFill/>
        <a:ln w="25400">
          <a:noFill/>
        </a:ln>
        <a:effectLst/>
      </c:spPr>
    </c:plotArea>
    <c:legend>
      <c:legendPos val="b"/>
      <c:layout>
        <c:manualLayout>
          <c:xMode val="edge"/>
          <c:yMode val="edge"/>
          <c:x val="0.27068203000664337"/>
          <c:y val="0.93236882986881242"/>
          <c:w val="0.45863579225660839"/>
          <c:h val="5.74227522859085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0655315832095"/>
          <c:y val="7.4159880234713108E-2"/>
          <c:w val="0.76684131765674934"/>
          <c:h val="0.69968245722362343"/>
        </c:manualLayout>
      </c:layout>
      <c:areaChart>
        <c:grouping val="stacked"/>
        <c:varyColors val="0"/>
        <c:ser>
          <c:idx val="0"/>
          <c:order val="0"/>
          <c:tx>
            <c:strRef>
              <c:f>'Losses by Month Working'!$B$33</c:f>
              <c:strCache>
                <c:ptCount val="1"/>
                <c:pt idx="0">
                  <c:v>Day</c:v>
                </c:pt>
              </c:strCache>
            </c:strRef>
          </c:tx>
          <c:spPr>
            <a:solidFill>
              <a:srgbClr val="2E1A47"/>
            </a:solidFill>
            <a:ln>
              <a:noFill/>
            </a:ln>
            <a:effectLst/>
          </c:spPr>
          <c:cat>
            <c:numRef>
              <c:f>'Losses by Month Working'!$A$34:$A$58</c:f>
              <c:numCache>
                <c:formatCode>mmm\-yy</c:formatCode>
                <c:ptCount val="25"/>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pt idx="24">
                  <c:v>44621</c:v>
                </c:pt>
              </c:numCache>
            </c:numRef>
          </c:cat>
          <c:val>
            <c:numRef>
              <c:f>'Losses by Month Working'!$B$34:$B$58</c:f>
              <c:numCache>
                <c:formatCode>0.0</c:formatCode>
                <c:ptCount val="25"/>
                <c:pt idx="0">
                  <c:v>0.81253900000000023</c:v>
                </c:pt>
                <c:pt idx="1">
                  <c:v>2.5836850000000005</c:v>
                </c:pt>
                <c:pt idx="2">
                  <c:v>3.7775050000000001</c:v>
                </c:pt>
                <c:pt idx="3">
                  <c:v>4.3389199999999999</c:v>
                </c:pt>
                <c:pt idx="4">
                  <c:v>5.5571650000000004</c:v>
                </c:pt>
                <c:pt idx="5">
                  <c:v>6.7972929999999998</c:v>
                </c:pt>
                <c:pt idx="6">
                  <c:v>7.6234979999999997</c:v>
                </c:pt>
                <c:pt idx="7">
                  <c:v>8.3950499999999995</c:v>
                </c:pt>
                <c:pt idx="8">
                  <c:v>8.9102899999999998</c:v>
                </c:pt>
                <c:pt idx="9">
                  <c:v>9.280777999999998</c:v>
                </c:pt>
                <c:pt idx="10">
                  <c:v>9.7145879999999973</c:v>
                </c:pt>
                <c:pt idx="11">
                  <c:v>10.429363999999998</c:v>
                </c:pt>
                <c:pt idx="12">
                  <c:v>10.783992999999999</c:v>
                </c:pt>
                <c:pt idx="13">
                  <c:v>11.074674</c:v>
                </c:pt>
                <c:pt idx="14">
                  <c:v>11.374312999999999</c:v>
                </c:pt>
                <c:pt idx="15">
                  <c:v>12.101583999999999</c:v>
                </c:pt>
                <c:pt idx="16">
                  <c:v>13.394807999999999</c:v>
                </c:pt>
                <c:pt idx="17">
                  <c:v>15.044204999999998</c:v>
                </c:pt>
                <c:pt idx="18">
                  <c:v>16.073763999999997</c:v>
                </c:pt>
                <c:pt idx="19">
                  <c:v>16.949565</c:v>
                </c:pt>
                <c:pt idx="20">
                  <c:v>17.277180000000001</c:v>
                </c:pt>
                <c:pt idx="21">
                  <c:v>17.671948</c:v>
                </c:pt>
                <c:pt idx="22">
                  <c:v>18.190292000000003</c:v>
                </c:pt>
                <c:pt idx="23">
                  <c:v>18.698152</c:v>
                </c:pt>
                <c:pt idx="24">
                  <c:v>18.740159000000002</c:v>
                </c:pt>
              </c:numCache>
            </c:numRef>
          </c:val>
          <c:extLst>
            <c:ext xmlns:c16="http://schemas.microsoft.com/office/drawing/2014/chart" uri="{C3380CC4-5D6E-409C-BE32-E72D297353CC}">
              <c16:uniqueId val="{00000000-9A35-41E9-8EED-1E09D4015D8C}"/>
            </c:ext>
          </c:extLst>
        </c:ser>
        <c:ser>
          <c:idx val="1"/>
          <c:order val="1"/>
          <c:tx>
            <c:strRef>
              <c:f>'Losses by Month Working'!$C$33</c:f>
              <c:strCache>
                <c:ptCount val="1"/>
                <c:pt idx="0">
                  <c:v>Overnight</c:v>
                </c:pt>
              </c:strCache>
            </c:strRef>
          </c:tx>
          <c:spPr>
            <a:solidFill>
              <a:srgbClr val="7A4282"/>
            </a:solidFill>
            <a:ln>
              <a:noFill/>
            </a:ln>
            <a:effectLst>
              <a:outerShdw blurRad="50800" dist="50800" dir="5400000" sx="1000" sy="1000" algn="ctr" rotWithShape="0">
                <a:srgbClr val="000000"/>
              </a:outerShdw>
            </a:effectLst>
          </c:spPr>
          <c:cat>
            <c:numRef>
              <c:f>'Losses by Month Working'!$A$34:$A$58</c:f>
              <c:numCache>
                <c:formatCode>mmm\-yy</c:formatCode>
                <c:ptCount val="25"/>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pt idx="24">
                  <c:v>44621</c:v>
                </c:pt>
              </c:numCache>
            </c:numRef>
          </c:cat>
          <c:val>
            <c:numRef>
              <c:f>'Losses by Month Working'!$C$34:$C$58</c:f>
              <c:numCache>
                <c:formatCode>0.0</c:formatCode>
                <c:ptCount val="25"/>
                <c:pt idx="0">
                  <c:v>2.5997269999999997</c:v>
                </c:pt>
                <c:pt idx="1">
                  <c:v>9.5948560000000001</c:v>
                </c:pt>
                <c:pt idx="2">
                  <c:v>14.366607</c:v>
                </c:pt>
                <c:pt idx="3">
                  <c:v>18.352495999999999</c:v>
                </c:pt>
                <c:pt idx="4">
                  <c:v>22.111540000000002</c:v>
                </c:pt>
                <c:pt idx="5">
                  <c:v>25.445746</c:v>
                </c:pt>
                <c:pt idx="6">
                  <c:v>29.568580999999998</c:v>
                </c:pt>
                <c:pt idx="7">
                  <c:v>32.560824000000004</c:v>
                </c:pt>
                <c:pt idx="8">
                  <c:v>34.759421000000003</c:v>
                </c:pt>
                <c:pt idx="9">
                  <c:v>35.916866999999996</c:v>
                </c:pt>
                <c:pt idx="10">
                  <c:v>37.438250999999994</c:v>
                </c:pt>
                <c:pt idx="11">
                  <c:v>38.056241999999997</c:v>
                </c:pt>
                <c:pt idx="12">
                  <c:v>38.431103999999998</c:v>
                </c:pt>
                <c:pt idx="13">
                  <c:v>37.930544999999995</c:v>
                </c:pt>
                <c:pt idx="14">
                  <c:v>37.391115999999997</c:v>
                </c:pt>
                <c:pt idx="15">
                  <c:v>38.483219999999996</c:v>
                </c:pt>
                <c:pt idx="16">
                  <c:v>41.565592999999993</c:v>
                </c:pt>
                <c:pt idx="17">
                  <c:v>45.266234999999995</c:v>
                </c:pt>
                <c:pt idx="18">
                  <c:v>49.996084999999994</c:v>
                </c:pt>
                <c:pt idx="19">
                  <c:v>53.986444999999989</c:v>
                </c:pt>
                <c:pt idx="20">
                  <c:v>55.960344999999997</c:v>
                </c:pt>
                <c:pt idx="21">
                  <c:v>56.444669999999988</c:v>
                </c:pt>
                <c:pt idx="22">
                  <c:v>57.248021999999992</c:v>
                </c:pt>
                <c:pt idx="23">
                  <c:v>56.737587999999988</c:v>
                </c:pt>
                <c:pt idx="24">
                  <c:v>56.381562999999986</c:v>
                </c:pt>
              </c:numCache>
            </c:numRef>
          </c:val>
          <c:extLst>
            <c:ext xmlns:c16="http://schemas.microsoft.com/office/drawing/2014/chart" uri="{C3380CC4-5D6E-409C-BE32-E72D297353CC}">
              <c16:uniqueId val="{00000001-9A35-41E9-8EED-1E09D4015D8C}"/>
            </c:ext>
          </c:extLst>
        </c:ser>
        <c:ser>
          <c:idx val="2"/>
          <c:order val="2"/>
          <c:tx>
            <c:strRef>
              <c:f>'Losses by Month Working'!$D$33</c:f>
              <c:strCache>
                <c:ptCount val="1"/>
                <c:pt idx="0">
                  <c:v>International</c:v>
                </c:pt>
              </c:strCache>
            </c:strRef>
          </c:tx>
          <c:spPr>
            <a:solidFill>
              <a:srgbClr val="1E988A"/>
            </a:solidFill>
            <a:ln>
              <a:noFill/>
            </a:ln>
            <a:effectLst/>
          </c:spPr>
          <c:cat>
            <c:numRef>
              <c:f>'Losses by Month Working'!$A$34:$A$58</c:f>
              <c:numCache>
                <c:formatCode>mmm\-yy</c:formatCode>
                <c:ptCount val="25"/>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pt idx="24">
                  <c:v>44621</c:v>
                </c:pt>
              </c:numCache>
            </c:numRef>
          </c:cat>
          <c:val>
            <c:numRef>
              <c:f>'Losses by Month Working'!$D$34:$D$58</c:f>
              <c:numCache>
                <c:formatCode>0.0</c:formatCode>
                <c:ptCount val="25"/>
                <c:pt idx="0">
                  <c:v>1.8604369999999999</c:v>
                </c:pt>
                <c:pt idx="1">
                  <c:v>4.7345820000000005</c:v>
                </c:pt>
                <c:pt idx="2">
                  <c:v>7.2308170000000009</c:v>
                </c:pt>
                <c:pt idx="3">
                  <c:v>9.8511730000000011</c:v>
                </c:pt>
                <c:pt idx="4">
                  <c:v>14.527301999999999</c:v>
                </c:pt>
                <c:pt idx="5">
                  <c:v>17.960476999999997</c:v>
                </c:pt>
                <c:pt idx="6">
                  <c:v>20.848669999999998</c:v>
                </c:pt>
                <c:pt idx="7">
                  <c:v>24.395834000000001</c:v>
                </c:pt>
                <c:pt idx="8">
                  <c:v>27.842752000000001</c:v>
                </c:pt>
                <c:pt idx="9">
                  <c:v>32.087927000000001</c:v>
                </c:pt>
                <c:pt idx="10">
                  <c:v>36.374286999999995</c:v>
                </c:pt>
                <c:pt idx="11">
                  <c:v>40.042707999999998</c:v>
                </c:pt>
                <c:pt idx="12">
                  <c:v>43.700361999999998</c:v>
                </c:pt>
                <c:pt idx="13">
                  <c:v>46.470552000000005</c:v>
                </c:pt>
                <c:pt idx="14">
                  <c:v>48.821593</c:v>
                </c:pt>
                <c:pt idx="15">
                  <c:v>51.307195</c:v>
                </c:pt>
                <c:pt idx="16">
                  <c:v>55.807195</c:v>
                </c:pt>
                <c:pt idx="17">
                  <c:v>59.007195000000003</c:v>
                </c:pt>
                <c:pt idx="18">
                  <c:v>62.208194999999996</c:v>
                </c:pt>
                <c:pt idx="19">
                  <c:v>65.410195000000002</c:v>
                </c:pt>
                <c:pt idx="20">
                  <c:v>68.613195000000005</c:v>
                </c:pt>
                <c:pt idx="21">
                  <c:v>72.389932999999999</c:v>
                </c:pt>
                <c:pt idx="22">
                  <c:v>75.450463999999997</c:v>
                </c:pt>
                <c:pt idx="23">
                  <c:v>77.49081799999999</c:v>
                </c:pt>
                <c:pt idx="24">
                  <c:v>81.571525999999992</c:v>
                </c:pt>
              </c:numCache>
            </c:numRef>
          </c:val>
          <c:extLst>
            <c:ext xmlns:c16="http://schemas.microsoft.com/office/drawing/2014/chart" uri="{C3380CC4-5D6E-409C-BE32-E72D297353CC}">
              <c16:uniqueId val="{00000002-9A35-41E9-8EED-1E09D4015D8C}"/>
            </c:ext>
          </c:extLst>
        </c:ser>
        <c:dLbls>
          <c:showLegendKey val="0"/>
          <c:showVal val="0"/>
          <c:showCatName val="0"/>
          <c:showSerName val="0"/>
          <c:showPercent val="0"/>
          <c:showBubbleSize val="0"/>
        </c:dLbls>
        <c:axId val="1439550815"/>
        <c:axId val="1439564959"/>
      </c:areaChart>
      <c:dateAx>
        <c:axId val="143955081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564959"/>
        <c:crosses val="autoZero"/>
        <c:auto val="1"/>
        <c:lblOffset val="100"/>
        <c:baseTimeUnit val="months"/>
        <c:majorUnit val="3"/>
        <c:majorTimeUnit val="months"/>
      </c:dateAx>
      <c:valAx>
        <c:axId val="1439564959"/>
        <c:scaling>
          <c:orientation val="minMax"/>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 Billions</a:t>
                </a:r>
              </a:p>
            </c:rich>
          </c:tx>
          <c:layout>
            <c:manualLayout>
              <c:xMode val="edge"/>
              <c:yMode val="edge"/>
              <c:x val="1.8852618230547714E-2"/>
              <c:y val="0.365356217273891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550815"/>
        <c:crosses val="autoZero"/>
        <c:crossBetween val="midCat"/>
      </c:valAx>
      <c:spPr>
        <a:noFill/>
        <a:ln>
          <a:noFill/>
        </a:ln>
        <a:effectLst/>
      </c:spPr>
    </c:plotArea>
    <c:legend>
      <c:legendPos val="b"/>
      <c:layout>
        <c:manualLayout>
          <c:xMode val="edge"/>
          <c:yMode val="edge"/>
          <c:x val="0.30606250905753346"/>
          <c:y val="0.92645262995376365"/>
          <c:w val="0.37040448931613612"/>
          <c:h val="5.425644788037728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0.34709</cdr:x>
      <cdr:y>0.14012</cdr:y>
    </cdr:from>
    <cdr:to>
      <cdr:x>0.5666</cdr:x>
      <cdr:y>0.21991</cdr:y>
    </cdr:to>
    <cdr:sp macro="" textlink="">
      <cdr:nvSpPr>
        <cdr:cNvPr id="2" name="Rectangle 1">
          <a:extLst xmlns:a="http://schemas.openxmlformats.org/drawingml/2006/main">
            <a:ext uri="{FF2B5EF4-FFF2-40B4-BE49-F238E27FC236}">
              <a16:creationId xmlns:a16="http://schemas.microsoft.com/office/drawing/2014/main" id="{22A65A55-FD3F-4A61-BC88-CACFF0A5DB8B}"/>
            </a:ext>
          </a:extLst>
        </cdr:cNvPr>
        <cdr:cNvSpPr/>
      </cdr:nvSpPr>
      <cdr:spPr>
        <a:xfrm xmlns:a="http://schemas.openxmlformats.org/drawingml/2006/main">
          <a:off x="2349502" y="522967"/>
          <a:ext cx="1485900" cy="2977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AU" sz="900">
              <a:solidFill>
                <a:sysClr val="windowText" lastClr="000000"/>
              </a:solidFill>
            </a:rPr>
            <a:t>COVID-19</a:t>
          </a:r>
          <a:r>
            <a:rPr lang="en-AU" sz="900" baseline="0">
              <a:solidFill>
                <a:sysClr val="windowText" lastClr="000000"/>
              </a:solidFill>
            </a:rPr>
            <a:t> enters Australia </a:t>
          </a:r>
          <a:endParaRPr lang="en-AU" sz="900">
            <a:solidFill>
              <a:sysClr val="windowText" lastClr="000000"/>
            </a:solidFill>
          </a:endParaRPr>
        </a:p>
      </cdr:txBody>
    </cdr:sp>
  </cdr:relSizeAnchor>
  <cdr:relSizeAnchor xmlns:cdr="http://schemas.openxmlformats.org/drawingml/2006/chartDrawing">
    <cdr:from>
      <cdr:x>0.42624</cdr:x>
      <cdr:y>0.20603</cdr:y>
    </cdr:from>
    <cdr:to>
      <cdr:x>0.43696</cdr:x>
      <cdr:y>0.33558</cdr:y>
    </cdr:to>
    <cdr:cxnSp macro="">
      <cdr:nvCxnSpPr>
        <cdr:cNvPr id="3" name="Straight Arrow Connector 2">
          <a:extLst xmlns:a="http://schemas.openxmlformats.org/drawingml/2006/main">
            <a:ext uri="{FF2B5EF4-FFF2-40B4-BE49-F238E27FC236}">
              <a16:creationId xmlns:a16="http://schemas.microsoft.com/office/drawing/2014/main" id="{979E58A7-8368-4857-896F-6BAE81C087B1}"/>
            </a:ext>
          </a:extLst>
        </cdr:cNvPr>
        <cdr:cNvCxnSpPr/>
      </cdr:nvCxnSpPr>
      <cdr:spPr>
        <a:xfrm xmlns:a="http://schemas.openxmlformats.org/drawingml/2006/main" flipH="1">
          <a:off x="2651125" y="727075"/>
          <a:ext cx="66676" cy="457200"/>
        </a:xfrm>
        <a:prstGeom xmlns:a="http://schemas.openxmlformats.org/drawingml/2006/main" prst="straightConnector1">
          <a:avLst/>
        </a:prstGeom>
        <a:ln xmlns:a="http://schemas.openxmlformats.org/drawingml/2006/main">
          <a:solidFill>
            <a:srgbClr val="2E1A47"/>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0.63853</cdr:x>
      <cdr:y>0.02531</cdr:y>
    </cdr:from>
    <cdr:to>
      <cdr:x>0.80341</cdr:x>
      <cdr:y>0.12293</cdr:y>
    </cdr:to>
    <cdr:sp macro="" textlink="">
      <cdr:nvSpPr>
        <cdr:cNvPr id="4" name="Rectangle 3">
          <a:extLst xmlns:a="http://schemas.openxmlformats.org/drawingml/2006/main">
            <a:ext uri="{FF2B5EF4-FFF2-40B4-BE49-F238E27FC236}">
              <a16:creationId xmlns:a16="http://schemas.microsoft.com/office/drawing/2014/main" id="{39D042F0-F580-450B-B0D6-11B60D28002A}"/>
            </a:ext>
          </a:extLst>
        </cdr:cNvPr>
        <cdr:cNvSpPr/>
      </cdr:nvSpPr>
      <cdr:spPr>
        <a:xfrm xmlns:a="http://schemas.openxmlformats.org/drawingml/2006/main">
          <a:off x="4322294" y="94460"/>
          <a:ext cx="1116090" cy="36433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AU" sz="900">
              <a:solidFill>
                <a:sysClr val="windowText" lastClr="000000"/>
              </a:solidFill>
            </a:rPr>
            <a:t>Borders close due to Delta variant</a:t>
          </a:r>
        </a:p>
      </cdr:txBody>
    </cdr:sp>
  </cdr:relSizeAnchor>
  <cdr:relSizeAnchor xmlns:cdr="http://schemas.openxmlformats.org/drawingml/2006/chartDrawing">
    <cdr:from>
      <cdr:x>0.74531</cdr:x>
      <cdr:y>0.13569</cdr:y>
    </cdr:from>
    <cdr:to>
      <cdr:x>0.75094</cdr:x>
      <cdr:y>0.23267</cdr:y>
    </cdr:to>
    <cdr:cxnSp macro="">
      <cdr:nvCxnSpPr>
        <cdr:cNvPr id="5" name="Straight Arrow Connector 4">
          <a:extLst xmlns:a="http://schemas.openxmlformats.org/drawingml/2006/main">
            <a:ext uri="{FF2B5EF4-FFF2-40B4-BE49-F238E27FC236}">
              <a16:creationId xmlns:a16="http://schemas.microsoft.com/office/drawing/2014/main" id="{814557BF-DF5C-4916-B0CA-35754A5203E1}"/>
            </a:ext>
          </a:extLst>
        </cdr:cNvPr>
        <cdr:cNvCxnSpPr/>
      </cdr:nvCxnSpPr>
      <cdr:spPr>
        <a:xfrm xmlns:a="http://schemas.openxmlformats.org/drawingml/2006/main" flipH="1">
          <a:off x="5045077" y="506414"/>
          <a:ext cx="38100" cy="361950"/>
        </a:xfrm>
        <a:prstGeom xmlns:a="http://schemas.openxmlformats.org/drawingml/2006/main" prst="straightConnector1">
          <a:avLst/>
        </a:prstGeom>
        <a:ln xmlns:a="http://schemas.openxmlformats.org/drawingml/2006/main">
          <a:solidFill>
            <a:srgbClr val="2E1A47"/>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0.79769</cdr:x>
      <cdr:y>0.02586</cdr:y>
    </cdr:from>
    <cdr:to>
      <cdr:x>0.95032</cdr:x>
      <cdr:y>0.06949</cdr:y>
    </cdr:to>
    <cdr:sp macro="" textlink="">
      <cdr:nvSpPr>
        <cdr:cNvPr id="8" name="Rectangle 7">
          <a:extLst xmlns:a="http://schemas.openxmlformats.org/drawingml/2006/main">
            <a:ext uri="{FF2B5EF4-FFF2-40B4-BE49-F238E27FC236}">
              <a16:creationId xmlns:a16="http://schemas.microsoft.com/office/drawing/2014/main" id="{DF309334-2ABF-4BBB-9414-CD30D16B5699}"/>
            </a:ext>
          </a:extLst>
        </cdr:cNvPr>
        <cdr:cNvSpPr/>
      </cdr:nvSpPr>
      <cdr:spPr>
        <a:xfrm xmlns:a="http://schemas.openxmlformats.org/drawingml/2006/main">
          <a:off x="5399645" y="96505"/>
          <a:ext cx="1033168" cy="16283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AU" sz="900">
              <a:solidFill>
                <a:sysClr val="windowText" lastClr="000000"/>
              </a:solidFill>
            </a:rPr>
            <a:t>Border restrictions</a:t>
          </a:r>
          <a:r>
            <a:rPr lang="en-AU" sz="900" baseline="0">
              <a:solidFill>
                <a:sysClr val="windowText" lastClr="000000"/>
              </a:solidFill>
            </a:rPr>
            <a:t> ease</a:t>
          </a:r>
          <a:endParaRPr lang="en-AU" sz="900">
            <a:solidFill>
              <a:sysClr val="windowText" lastClr="000000"/>
            </a:solidFill>
          </a:endParaRPr>
        </a:p>
      </cdr:txBody>
    </cdr:sp>
  </cdr:relSizeAnchor>
  <cdr:relSizeAnchor xmlns:cdr="http://schemas.openxmlformats.org/drawingml/2006/chartDrawing">
    <cdr:from>
      <cdr:x>0.86686</cdr:x>
      <cdr:y>0.1141</cdr:y>
    </cdr:from>
    <cdr:to>
      <cdr:x>0.87054</cdr:x>
      <cdr:y>0.25564</cdr:y>
    </cdr:to>
    <cdr:cxnSp macro="">
      <cdr:nvCxnSpPr>
        <cdr:cNvPr id="9" name="Straight Arrow Connector 8">
          <a:extLst xmlns:a="http://schemas.openxmlformats.org/drawingml/2006/main">
            <a:ext uri="{FF2B5EF4-FFF2-40B4-BE49-F238E27FC236}">
              <a16:creationId xmlns:a16="http://schemas.microsoft.com/office/drawing/2014/main" id="{2EF5FABD-8A23-4BA2-B58F-0281F470B641}"/>
            </a:ext>
          </a:extLst>
        </cdr:cNvPr>
        <cdr:cNvCxnSpPr/>
      </cdr:nvCxnSpPr>
      <cdr:spPr>
        <a:xfrm xmlns:a="http://schemas.openxmlformats.org/drawingml/2006/main">
          <a:off x="5867845" y="425856"/>
          <a:ext cx="24957" cy="528233"/>
        </a:xfrm>
        <a:prstGeom xmlns:a="http://schemas.openxmlformats.org/drawingml/2006/main" prst="straightConnector1">
          <a:avLst/>
        </a:prstGeom>
        <a:ln xmlns:a="http://schemas.openxmlformats.org/drawingml/2006/main">
          <a:solidFill>
            <a:srgbClr val="2E1A47"/>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0E3AD30B-EF9F-4108-9EB5-72C5870F2F0E}">
  <ds:schemaRefs>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52d2b1bf-f310-45e2-aba7-632ee969a559"/>
    <ds:schemaRef ds:uri="2124141f-bf93-4eca-8662-34a4511e35c8"/>
    <ds:schemaRef ds:uri="http://schemas.microsoft.com/office/2006/metadata/properties"/>
  </ds:schemaRefs>
</ds:datastoreItem>
</file>

<file path=customXml/itemProps6.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2022-06-29T02:12:00Z</dcterms:created>
  <dcterms:modified xsi:type="dcterms:W3CDTF">2022-06-29T02:12:00Z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