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1FB1" w14:textId="23DA2364" w:rsidR="000337D7" w:rsidRDefault="00581F01" w:rsidP="009E6DB3">
      <w:pPr>
        <w:rPr>
          <w:b/>
          <w:bCs/>
          <w:highlight w:val="yellow"/>
        </w:rPr>
      </w:pPr>
      <w:r w:rsidRPr="00CD1584">
        <w:rPr>
          <w:noProof/>
          <w:highlight w:val="yellow"/>
        </w:rPr>
        <w:drawing>
          <wp:anchor distT="0" distB="0" distL="114300" distR="114300" simplePos="0" relativeHeight="251658240" behindDoc="0" locked="0" layoutInCell="1" allowOverlap="1" wp14:anchorId="5266D59A" wp14:editId="35993D84">
            <wp:simplePos x="0" y="0"/>
            <wp:positionH relativeFrom="page">
              <wp:align>right</wp:align>
            </wp:positionH>
            <wp:positionV relativeFrom="paragraph">
              <wp:posOffset>-1573530</wp:posOffset>
            </wp:positionV>
            <wp:extent cx="7810500" cy="2919147"/>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1"/>
                    <a:srcRect r="5264"/>
                    <a:stretch/>
                  </pic:blipFill>
                  <pic:spPr bwMode="auto">
                    <a:xfrm>
                      <a:off x="0" y="0"/>
                      <a:ext cx="7810500" cy="29191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b/>
          <w:bCs/>
          <w:highlight w:val="yellow"/>
        </w:rPr>
        <w:id w:val="-1649280474"/>
        <w:docPartObj>
          <w:docPartGallery w:val="Cover Pages"/>
          <w:docPartUnique/>
        </w:docPartObj>
      </w:sdtPr>
      <w:sdtEndPr>
        <w:rPr>
          <w:b w:val="0"/>
          <w:bCs w:val="0"/>
        </w:rPr>
      </w:sdtEndPr>
      <w:sdtContent>
        <w:p w14:paraId="13D6095B" w14:textId="663895DD" w:rsidR="003A58AB" w:rsidRPr="00CD1584" w:rsidRDefault="00CD76DA" w:rsidP="009E6DB3">
          <w:pPr>
            <w:rPr>
              <w:highlight w:val="yellow"/>
            </w:rPr>
          </w:pPr>
          <w:r w:rsidRPr="00CD1584">
            <w:rPr>
              <w:noProof/>
              <w:highlight w:val="yellow"/>
            </w:rPr>
            <w:drawing>
              <wp:anchor distT="0" distB="0" distL="114300" distR="114300" simplePos="0" relativeHeight="251658241" behindDoc="0" locked="1" layoutInCell="1" allowOverlap="1" wp14:anchorId="1FEF4080" wp14:editId="70B24487">
                <wp:simplePos x="0" y="0"/>
                <wp:positionH relativeFrom="margin">
                  <wp:align>left</wp:align>
                </wp:positionH>
                <wp:positionV relativeFrom="page">
                  <wp:posOffset>465455</wp:posOffset>
                </wp:positionV>
                <wp:extent cx="3340735" cy="1104900"/>
                <wp:effectExtent l="0" t="0" r="0" b="0"/>
                <wp:wrapNone/>
                <wp:docPr id="15922604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0426"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3340735" cy="1104900"/>
                        </a:xfrm>
                        <a:prstGeom prst="rect">
                          <a:avLst/>
                        </a:prstGeom>
                      </pic:spPr>
                    </pic:pic>
                  </a:graphicData>
                </a:graphic>
                <wp14:sizeRelH relativeFrom="margin">
                  <wp14:pctWidth>0</wp14:pctWidth>
                </wp14:sizeRelH>
                <wp14:sizeRelV relativeFrom="margin">
                  <wp14:pctHeight>0</wp14:pctHeight>
                </wp14:sizeRelV>
              </wp:anchor>
            </w:drawing>
          </w:r>
        </w:p>
        <w:p w14:paraId="1DE05AA7" w14:textId="71058671" w:rsidR="00501469" w:rsidRPr="00CD1584" w:rsidRDefault="00501469">
          <w:pPr>
            <w:rPr>
              <w:highlight w:val="yellow"/>
            </w:rPr>
          </w:pPr>
        </w:p>
        <w:p w14:paraId="43026F71" w14:textId="5CA84BAE" w:rsidR="00501469" w:rsidRPr="00CD1584" w:rsidRDefault="00501469">
          <w:pPr>
            <w:rPr>
              <w:highlight w:val="yellow"/>
            </w:rPr>
          </w:pPr>
        </w:p>
        <w:p w14:paraId="4F7A136C" w14:textId="1E94A458" w:rsidR="00501469" w:rsidRPr="00CD1584" w:rsidRDefault="00501469">
          <w:pPr>
            <w:rPr>
              <w:highlight w:val="yellow"/>
            </w:rPr>
          </w:pPr>
        </w:p>
        <w:p w14:paraId="7953093E" w14:textId="46953E59" w:rsidR="00501469" w:rsidRPr="009B21E9" w:rsidRDefault="00501469"/>
        <w:p w14:paraId="01968025" w14:textId="77777777" w:rsidR="00501469" w:rsidRPr="009B21E9" w:rsidRDefault="00501469"/>
        <w:p w14:paraId="05BEBF39" w14:textId="39F00C47" w:rsidR="003E38E3" w:rsidRPr="009B21E9" w:rsidRDefault="00D92ABC" w:rsidP="00C27BF9">
          <w:pPr>
            <w:pStyle w:val="Heading1"/>
            <w:rPr>
              <w:rStyle w:val="Heading1Char"/>
              <w:bCs/>
            </w:rPr>
          </w:pPr>
          <w:bookmarkStart w:id="0" w:name="_Toc180572574"/>
          <w:bookmarkStart w:id="1" w:name="_Toc180576428"/>
          <w:bookmarkStart w:id="2" w:name="_Toc182121504"/>
          <w:bookmarkStart w:id="3" w:name="_Toc184200255"/>
          <w:bookmarkStart w:id="4" w:name="_Toc184205792"/>
          <w:bookmarkStart w:id="5" w:name="_Toc184632606"/>
          <w:bookmarkStart w:id="6" w:name="_Toc188024211"/>
          <w:bookmarkStart w:id="7" w:name="_Toc191539009"/>
          <w:r w:rsidRPr="009B21E9">
            <w:t xml:space="preserve">Tourism </w:t>
          </w:r>
          <w:bookmarkEnd w:id="0"/>
          <w:bookmarkEnd w:id="1"/>
          <w:bookmarkEnd w:id="2"/>
          <w:bookmarkEnd w:id="3"/>
          <w:bookmarkEnd w:id="4"/>
          <w:bookmarkEnd w:id="5"/>
          <w:r w:rsidR="0037231F" w:rsidRPr="009B21E9">
            <w:t>Investment Monitor</w:t>
          </w:r>
          <w:bookmarkEnd w:id="6"/>
          <w:bookmarkEnd w:id="7"/>
        </w:p>
        <w:p w14:paraId="01BA8E88" w14:textId="6C150C93" w:rsidR="00C27BF9" w:rsidRPr="009B21E9" w:rsidRDefault="0037231F" w:rsidP="00C27BF9">
          <w:pPr>
            <w:pStyle w:val="Heading2"/>
          </w:pPr>
          <w:bookmarkStart w:id="8" w:name="_Toc188024212"/>
          <w:bookmarkStart w:id="9" w:name="_Toc189145248"/>
          <w:bookmarkStart w:id="10" w:name="_Toc190084752"/>
          <w:bookmarkStart w:id="11" w:name="_Toc191539010"/>
          <w:r w:rsidRPr="009B21E9">
            <w:t>2023</w:t>
          </w:r>
          <w:r w:rsidR="00AC4CD9">
            <w:t>−</w:t>
          </w:r>
          <w:r w:rsidRPr="009B21E9">
            <w:t>24</w:t>
          </w:r>
          <w:bookmarkEnd w:id="8"/>
          <w:bookmarkEnd w:id="9"/>
          <w:bookmarkEnd w:id="10"/>
          <w:bookmarkEnd w:id="11"/>
        </w:p>
        <w:p w14:paraId="3490354B" w14:textId="77777777" w:rsidR="00D92ABC" w:rsidRPr="009B21E9" w:rsidRDefault="00D92ABC" w:rsidP="00D92ABC"/>
        <w:p w14:paraId="790D873C" w14:textId="77777777" w:rsidR="00D92ABC" w:rsidRPr="009B21E9" w:rsidRDefault="00D92ABC" w:rsidP="00D92ABC"/>
        <w:p w14:paraId="50999591" w14:textId="77777777" w:rsidR="00D92ABC" w:rsidRPr="009B21E9" w:rsidRDefault="00D92ABC" w:rsidP="00D92ABC">
          <w:pPr>
            <w:spacing w:before="120" w:after="120"/>
            <w:rPr>
              <w:rFonts w:eastAsia="Verdana" w:cs="Times New Roman"/>
              <w:color w:val="000000"/>
            </w:rPr>
          </w:pPr>
          <w:r w:rsidRPr="009B21E9">
            <w:rPr>
              <w:rFonts w:eastAsia="Verdana" w:cs="Times New Roman"/>
              <w:color w:val="000000"/>
            </w:rPr>
            <w:t xml:space="preserve">Tourism Research Australia </w:t>
          </w:r>
        </w:p>
        <w:p w14:paraId="2F0BC840" w14:textId="77777777" w:rsidR="00D92ABC" w:rsidRPr="009B21E9" w:rsidRDefault="00D92ABC" w:rsidP="00D92ABC">
          <w:pPr>
            <w:spacing w:before="120" w:after="120"/>
            <w:rPr>
              <w:rFonts w:eastAsia="Verdana" w:cs="Times New Roman"/>
              <w:color w:val="000000"/>
            </w:rPr>
          </w:pPr>
          <w:r w:rsidRPr="009B21E9">
            <w:rPr>
              <w:rFonts w:eastAsia="Verdana" w:cs="Times New Roman"/>
              <w:color w:val="000000"/>
            </w:rPr>
            <w:t xml:space="preserve">Australian Trade and Investment Commission (Austrade) </w:t>
          </w:r>
        </w:p>
        <w:p w14:paraId="720DFA4A" w14:textId="77777777" w:rsidR="00D92ABC" w:rsidRPr="009B21E9" w:rsidRDefault="00D92ABC" w:rsidP="00D92ABC">
          <w:pPr>
            <w:spacing w:before="120" w:after="120"/>
            <w:rPr>
              <w:rFonts w:eastAsia="Verdana" w:cs="Times New Roman"/>
              <w:color w:val="000000"/>
            </w:rPr>
          </w:pPr>
          <w:r w:rsidRPr="009B21E9">
            <w:rPr>
              <w:rFonts w:eastAsia="Verdana" w:cs="Times New Roman"/>
              <w:color w:val="000000"/>
            </w:rPr>
            <w:t xml:space="preserve">Email: </w:t>
          </w:r>
          <w:hyperlink r:id="rId13" w:history="1">
            <w:r w:rsidRPr="009B21E9">
              <w:rPr>
                <w:rStyle w:val="Hyperlink"/>
                <w:rFonts w:eastAsia="Verdana" w:cs="Times New Roman"/>
              </w:rPr>
              <w:t>tourism.research@tra.gov.au</w:t>
            </w:r>
          </w:hyperlink>
          <w:r w:rsidRPr="009B21E9">
            <w:rPr>
              <w:rFonts w:eastAsia="Verdana" w:cs="Times New Roman"/>
              <w:color w:val="000000"/>
            </w:rPr>
            <w:t xml:space="preserve"> </w:t>
          </w:r>
        </w:p>
        <w:p w14:paraId="1D47EE2F" w14:textId="77777777" w:rsidR="00D92ABC" w:rsidRPr="003F79D6" w:rsidRDefault="00D92ABC" w:rsidP="00D92ABC">
          <w:pPr>
            <w:spacing w:before="120" w:after="120"/>
            <w:rPr>
              <w:rFonts w:eastAsia="Verdana" w:cs="Times New Roman"/>
              <w:color w:val="000000"/>
            </w:rPr>
          </w:pPr>
          <w:r w:rsidRPr="009B21E9">
            <w:rPr>
              <w:rFonts w:eastAsia="Verdana" w:cs="Times New Roman"/>
              <w:color w:val="000000"/>
            </w:rPr>
            <w:t xml:space="preserve">Web: </w:t>
          </w:r>
          <w:hyperlink r:id="rId14" w:history="1">
            <w:r w:rsidRPr="003F79D6">
              <w:rPr>
                <w:rStyle w:val="Hyperlink"/>
                <w:rFonts w:eastAsia="Verdana" w:cs="Times New Roman"/>
              </w:rPr>
              <w:t>www.tra.gov.au</w:t>
            </w:r>
          </w:hyperlink>
          <w:r w:rsidRPr="003F79D6">
            <w:rPr>
              <w:rFonts w:eastAsia="Verdana" w:cs="Times New Roman"/>
              <w:color w:val="000000"/>
            </w:rPr>
            <w:t xml:space="preserve"> </w:t>
          </w:r>
        </w:p>
        <w:p w14:paraId="6B8939F1" w14:textId="0D2E474F" w:rsidR="00D92ABC" w:rsidRPr="003F79D6" w:rsidRDefault="00D92ABC" w:rsidP="00D92ABC">
          <w:pPr>
            <w:spacing w:before="120" w:after="120"/>
            <w:rPr>
              <w:rFonts w:eastAsia="Verdana" w:cs="Times New Roman"/>
              <w:color w:val="000000"/>
            </w:rPr>
          </w:pPr>
          <w:r w:rsidRPr="7AB58DDE">
            <w:rPr>
              <w:rFonts w:eastAsia="Verdana" w:cs="Times New Roman"/>
            </w:rPr>
            <w:t xml:space="preserve">Publication date: </w:t>
          </w:r>
          <w:r w:rsidR="003F79D6" w:rsidRPr="7AB58DDE">
            <w:rPr>
              <w:rFonts w:eastAsia="Verdana" w:cs="Times New Roman"/>
            </w:rPr>
            <w:t xml:space="preserve">4 March 2025 </w:t>
          </w:r>
        </w:p>
        <w:p w14:paraId="0A80CD96" w14:textId="77777777" w:rsidR="00D92ABC" w:rsidRPr="003F79D6" w:rsidRDefault="00D92ABC" w:rsidP="00D92ABC">
          <w:pPr>
            <w:spacing w:before="120" w:after="120"/>
            <w:rPr>
              <w:rFonts w:eastAsia="Verdana" w:cs="Times New Roman"/>
              <w:color w:val="000000"/>
            </w:rPr>
          </w:pPr>
        </w:p>
        <w:p w14:paraId="0A5BB0DD" w14:textId="77777777" w:rsidR="00D92ABC" w:rsidRPr="00CD1584" w:rsidRDefault="00D92ABC" w:rsidP="00D92ABC">
          <w:pPr>
            <w:spacing w:line="240" w:lineRule="auto"/>
            <w:rPr>
              <w:rFonts w:eastAsia="Verdana" w:cs="Times New Roman"/>
              <w:color w:val="000000"/>
              <w:sz w:val="16"/>
              <w:szCs w:val="16"/>
              <w:highlight w:val="yellow"/>
            </w:rPr>
          </w:pPr>
        </w:p>
        <w:p w14:paraId="10071723" w14:textId="77777777" w:rsidR="008A4FEF" w:rsidRDefault="008A4FEF" w:rsidP="00D92ABC">
          <w:pPr>
            <w:spacing w:line="240" w:lineRule="auto"/>
            <w:rPr>
              <w:rFonts w:eastAsia="Verdana" w:cs="Times New Roman"/>
              <w:color w:val="000000"/>
              <w:sz w:val="16"/>
              <w:szCs w:val="16"/>
              <w:highlight w:val="yellow"/>
            </w:rPr>
          </w:pPr>
        </w:p>
        <w:p w14:paraId="54480561" w14:textId="77777777" w:rsidR="008A4FEF" w:rsidRPr="00CD1584" w:rsidRDefault="008A4FEF" w:rsidP="00D92ABC">
          <w:pPr>
            <w:spacing w:line="240" w:lineRule="auto"/>
            <w:rPr>
              <w:rFonts w:eastAsia="Verdana" w:cs="Times New Roman"/>
              <w:color w:val="000000"/>
              <w:sz w:val="16"/>
              <w:szCs w:val="16"/>
              <w:highlight w:val="yellow"/>
            </w:rPr>
          </w:pPr>
        </w:p>
        <w:p w14:paraId="7A9CB8B1" w14:textId="77777777" w:rsidR="00D92ABC" w:rsidRPr="009B21E9" w:rsidRDefault="00D92ABC" w:rsidP="00D92ABC">
          <w:pPr>
            <w:spacing w:line="240" w:lineRule="auto"/>
            <w:rPr>
              <w:rFonts w:eastAsia="Verdana" w:cs="Times New Roman"/>
              <w:color w:val="000000"/>
              <w:sz w:val="16"/>
              <w:szCs w:val="16"/>
            </w:rPr>
          </w:pPr>
        </w:p>
        <w:p w14:paraId="69665728" w14:textId="77777777" w:rsidR="00D92ABC" w:rsidRPr="009B21E9" w:rsidRDefault="00D92ABC" w:rsidP="00D92ABC">
          <w:pPr>
            <w:spacing w:line="240" w:lineRule="auto"/>
            <w:rPr>
              <w:rFonts w:eastAsia="Verdana" w:cs="Times New Roman"/>
              <w:color w:val="000000"/>
              <w:sz w:val="16"/>
              <w:szCs w:val="16"/>
            </w:rPr>
          </w:pPr>
        </w:p>
        <w:p w14:paraId="7B4753BE" w14:textId="1506AE0D" w:rsidR="00D92ABC" w:rsidRPr="009B21E9" w:rsidRDefault="00D92ABC" w:rsidP="0037231F">
          <w:pPr>
            <w:spacing w:line="240" w:lineRule="auto"/>
            <w:rPr>
              <w:rFonts w:eastAsia="Verdana" w:cs="Verdana"/>
              <w:color w:val="000000"/>
              <w:sz w:val="24"/>
              <w:szCs w:val="24"/>
            </w:rPr>
          </w:pPr>
          <w:r w:rsidRPr="009B21E9">
            <w:rPr>
              <w:rFonts w:eastAsia="Verdana" w:cs="Times New Roman"/>
              <w:color w:val="000000"/>
              <w:sz w:val="16"/>
              <w:szCs w:val="16"/>
            </w:rPr>
            <w:t xml:space="preserve">This work should be attributed as </w:t>
          </w:r>
          <w:r w:rsidR="0037231F" w:rsidRPr="009B21E9">
            <w:rPr>
              <w:i/>
              <w:iCs/>
              <w:sz w:val="16"/>
              <w:szCs w:val="16"/>
            </w:rPr>
            <w:t>Tourism Investment Monitor 2023</w:t>
          </w:r>
          <w:r w:rsidR="0039522C">
            <w:rPr>
              <w:i/>
              <w:iCs/>
              <w:sz w:val="16"/>
              <w:szCs w:val="16"/>
            </w:rPr>
            <w:t>–</w:t>
          </w:r>
          <w:r w:rsidR="0037231F" w:rsidRPr="009B21E9">
            <w:rPr>
              <w:i/>
              <w:iCs/>
              <w:sz w:val="16"/>
              <w:szCs w:val="16"/>
            </w:rPr>
            <w:t>24</w:t>
          </w:r>
          <w:r w:rsidR="0037231F" w:rsidRPr="009B21E9">
            <w:rPr>
              <w:sz w:val="16"/>
              <w:szCs w:val="16"/>
            </w:rPr>
            <w:t xml:space="preserve">, Tourism Research Australia, Austrade, Canberra. </w:t>
          </w:r>
          <w:r w:rsidRPr="009B21E9">
            <w:rPr>
              <w:rFonts w:eastAsia="Verdana" w:cs="Verdana"/>
              <w:color w:val="000000"/>
              <w:sz w:val="16"/>
              <w:szCs w:val="16"/>
            </w:rPr>
            <w:t xml:space="preserve">This report is available at </w:t>
          </w:r>
          <w:hyperlink r:id="rId15" w:history="1">
            <w:r w:rsidRPr="009B21E9">
              <w:rPr>
                <w:rStyle w:val="Hyperlink"/>
                <w:rFonts w:eastAsia="Verdana" w:cs="Verdana"/>
                <w:sz w:val="16"/>
                <w:szCs w:val="16"/>
              </w:rPr>
              <w:t>https://www.tra.gov.au/</w:t>
            </w:r>
          </w:hyperlink>
        </w:p>
        <w:p w14:paraId="7A649223" w14:textId="77777777" w:rsidR="00D92ABC" w:rsidRPr="009B21E9" w:rsidRDefault="00D92ABC" w:rsidP="00D92ABC">
          <w:pPr>
            <w:autoSpaceDE w:val="0"/>
            <w:autoSpaceDN w:val="0"/>
            <w:adjustRightInd w:val="0"/>
            <w:spacing w:after="0" w:line="240" w:lineRule="auto"/>
            <w:rPr>
              <w:rFonts w:eastAsia="Verdana" w:cs="Verdana"/>
              <w:color w:val="000000"/>
              <w:sz w:val="24"/>
              <w:szCs w:val="24"/>
            </w:rPr>
          </w:pPr>
        </w:p>
        <w:p w14:paraId="7F473B20" w14:textId="77777777" w:rsidR="00D92ABC" w:rsidRPr="009B21E9" w:rsidRDefault="00D92ABC" w:rsidP="00D92ABC">
          <w:pPr>
            <w:autoSpaceDE w:val="0"/>
            <w:autoSpaceDN w:val="0"/>
            <w:adjustRightInd w:val="0"/>
            <w:spacing w:after="0" w:line="240" w:lineRule="auto"/>
            <w:rPr>
              <w:rFonts w:eastAsia="Verdana" w:cs="Verdana"/>
              <w:color w:val="000000"/>
              <w:sz w:val="16"/>
              <w:szCs w:val="16"/>
            </w:rPr>
          </w:pPr>
          <w:r w:rsidRPr="009B21E9">
            <w:rPr>
              <w:rFonts w:eastAsia="Verdana" w:cs="Verdana"/>
              <w:color w:val="000000"/>
              <w:sz w:val="16"/>
              <w:szCs w:val="16"/>
            </w:rPr>
            <w:t xml:space="preserve">Further enquiries are welcome at </w:t>
          </w:r>
          <w:hyperlink r:id="rId16" w:history="1">
            <w:r w:rsidRPr="009B21E9">
              <w:rPr>
                <w:rStyle w:val="Hyperlink"/>
                <w:rFonts w:eastAsia="Verdana" w:cs="Verdana"/>
                <w:sz w:val="16"/>
                <w:szCs w:val="16"/>
              </w:rPr>
              <w:t>tourism.research@tra.gov.au</w:t>
            </w:r>
          </w:hyperlink>
          <w:r w:rsidRPr="009B21E9">
            <w:rPr>
              <w:rFonts w:eastAsia="Verdana" w:cs="Verdana"/>
              <w:color w:val="000000"/>
              <w:sz w:val="16"/>
              <w:szCs w:val="16"/>
            </w:rPr>
            <w:t xml:space="preserve"> </w:t>
          </w:r>
        </w:p>
        <w:p w14:paraId="6D3878C3" w14:textId="77777777" w:rsidR="008A4FEF" w:rsidRDefault="008A4FEF">
          <w:pPr>
            <w:spacing w:after="160" w:line="259" w:lineRule="auto"/>
            <w:rPr>
              <w:rFonts w:eastAsia="SimSun" w:cs="Times New Roman"/>
              <w:bCs/>
              <w:color w:val="3D2141" w:themeColor="accent1" w:themeShade="80"/>
              <w:sz w:val="32"/>
              <w:szCs w:val="26"/>
              <w:lang w:eastAsia="zh-CN"/>
            </w:rPr>
          </w:pPr>
          <w:bookmarkStart w:id="12" w:name="_Toc120093921"/>
          <w:bookmarkStart w:id="13" w:name="_Toc120097917"/>
          <w:bookmarkStart w:id="14" w:name="_Toc148014773"/>
          <w:bookmarkStart w:id="15" w:name="_Toc148174098"/>
          <w:bookmarkStart w:id="16" w:name="_Toc150174954"/>
          <w:bookmarkStart w:id="17" w:name="_Toc150175459"/>
          <w:bookmarkStart w:id="18" w:name="_Toc150846163"/>
          <w:bookmarkStart w:id="19" w:name="_Toc180572577"/>
          <w:bookmarkStart w:id="20" w:name="_Toc180576431"/>
          <w:bookmarkStart w:id="21" w:name="_Toc182121507"/>
          <w:bookmarkStart w:id="22" w:name="_Toc184200258"/>
          <w:bookmarkStart w:id="23" w:name="_Toc184205795"/>
          <w:bookmarkStart w:id="24" w:name="_Toc184632609"/>
          <w:bookmarkStart w:id="25" w:name="_Toc188024214"/>
          <w:bookmarkStart w:id="26" w:name="_Toc189145250"/>
          <w:bookmarkStart w:id="27" w:name="_Toc120093922"/>
          <w:bookmarkStart w:id="28" w:name="_Toc120097918"/>
          <w:bookmarkStart w:id="29" w:name="_Toc148014774"/>
          <w:bookmarkStart w:id="30" w:name="_Toc148174099"/>
          <w:bookmarkStart w:id="31" w:name="_Toc150174955"/>
          <w:bookmarkStart w:id="32" w:name="_Toc150175460"/>
          <w:bookmarkStart w:id="33" w:name="_Toc150846164"/>
          <w:r>
            <w:br w:type="page"/>
          </w:r>
        </w:p>
        <w:p w14:paraId="405E8C89" w14:textId="133B83B5" w:rsidR="00D92ABC" w:rsidRPr="009B21E9" w:rsidRDefault="00D92ABC" w:rsidP="009B244A">
          <w:pPr>
            <w:pStyle w:val="Heading2"/>
          </w:pPr>
          <w:bookmarkStart w:id="34" w:name="_Toc190084753"/>
          <w:bookmarkStart w:id="35" w:name="_Toc191539011"/>
          <w:r w:rsidRPr="009B21E9">
            <w:lastRenderedPageBreak/>
            <w:t>Acknowledgement of Country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34"/>
          <w:bookmarkEnd w:id="35"/>
        </w:p>
        <w:p w14:paraId="341D5CBC" w14:textId="61075BA9" w:rsidR="008114B4" w:rsidRPr="009B21E9" w:rsidRDefault="008114B4" w:rsidP="008114B4">
          <w:r w:rsidRPr="009B21E9">
            <w:t xml:space="preserve">We acknowledge the Traditional Custodians of lands throughout Australia and pay our respects to their Elders past and present. We recognise the enduring connection of First Nations people to land, sea and waters, and their deep care for Country over 65,000 years. We honour the enormous contribution First Nations cultures and traditions make to the visitor experience in </w:t>
          </w:r>
          <w:r w:rsidR="00316CC6" w:rsidRPr="009B21E9">
            <w:t>Australia and</w:t>
          </w:r>
          <w:r w:rsidRPr="009B21E9">
            <w:t xml:space="preserve"> commit to protecting and nurturing these cultures in partnership with First Nations communities.</w:t>
          </w:r>
        </w:p>
        <w:p w14:paraId="005273F1" w14:textId="77777777" w:rsidR="00D92ABC" w:rsidRPr="00CD1584" w:rsidRDefault="00D92ABC" w:rsidP="00D92ABC">
          <w:pPr>
            <w:rPr>
              <w:highlight w:val="yellow"/>
            </w:rPr>
          </w:pPr>
        </w:p>
        <w:bookmarkEnd w:id="27"/>
        <w:bookmarkEnd w:id="28"/>
        <w:bookmarkEnd w:id="29"/>
        <w:bookmarkEnd w:id="30"/>
        <w:bookmarkEnd w:id="31"/>
        <w:bookmarkEnd w:id="32"/>
        <w:bookmarkEnd w:id="33"/>
        <w:p w14:paraId="52B226EE" w14:textId="77777777" w:rsidR="00D92ABC" w:rsidRPr="00CD1584" w:rsidRDefault="00D92ABC" w:rsidP="00D92ABC">
          <w:pPr>
            <w:rPr>
              <w:rFonts w:eastAsia="Verdana" w:cs="Times New Roman"/>
              <w:color w:val="000000"/>
              <w:highlight w:val="yellow"/>
              <w:lang w:eastAsia="zh-CN"/>
            </w:rPr>
          </w:pPr>
        </w:p>
        <w:p w14:paraId="178C54B3" w14:textId="77777777" w:rsidR="00D92ABC" w:rsidRPr="00CD1584" w:rsidRDefault="00D92ABC" w:rsidP="00D92ABC">
          <w:pPr>
            <w:rPr>
              <w:highlight w:val="yellow"/>
              <w:lang w:eastAsia="zh-CN"/>
            </w:rPr>
          </w:pPr>
        </w:p>
        <w:p w14:paraId="18A6A1E5" w14:textId="77777777" w:rsidR="0037231F" w:rsidRPr="00CD1584" w:rsidRDefault="0037231F" w:rsidP="00D92ABC">
          <w:pPr>
            <w:rPr>
              <w:highlight w:val="yellow"/>
              <w:lang w:eastAsia="zh-CN"/>
            </w:rPr>
          </w:pPr>
        </w:p>
        <w:p w14:paraId="77784CC7" w14:textId="77777777" w:rsidR="0037231F" w:rsidRPr="009B21E9" w:rsidRDefault="0037231F" w:rsidP="00D92ABC">
          <w:pPr>
            <w:rPr>
              <w:lang w:eastAsia="zh-CN"/>
            </w:rPr>
          </w:pPr>
        </w:p>
        <w:p w14:paraId="24E5C145" w14:textId="77777777" w:rsidR="0037231F" w:rsidRPr="009B21E9" w:rsidRDefault="0037231F" w:rsidP="00D92ABC">
          <w:pPr>
            <w:rPr>
              <w:lang w:eastAsia="zh-CN"/>
            </w:rPr>
          </w:pPr>
        </w:p>
        <w:p w14:paraId="7D9A2181" w14:textId="752F7694" w:rsidR="00D92ABC" w:rsidRPr="009B21E9" w:rsidRDefault="00D92ABC" w:rsidP="00D92ABC">
          <w:pPr>
            <w:pStyle w:val="Pa2"/>
            <w:spacing w:after="40"/>
            <w:rPr>
              <w:rFonts w:ascii="Verdana" w:hAnsi="Verdana" w:cs="Verdana"/>
              <w:color w:val="000000"/>
              <w:sz w:val="16"/>
              <w:szCs w:val="16"/>
            </w:rPr>
          </w:pPr>
          <w:r w:rsidRPr="009B21E9">
            <w:rPr>
              <w:rFonts w:ascii="Verdana" w:hAnsi="Verdana" w:cs="Verdana"/>
              <w:color w:val="000000"/>
              <w:sz w:val="16"/>
              <w:szCs w:val="16"/>
            </w:rPr>
            <w:t>Copyright © Commonwealth of Australia 202</w:t>
          </w:r>
          <w:r w:rsidR="007E1BAF">
            <w:rPr>
              <w:rFonts w:ascii="Verdana" w:hAnsi="Verdana" w:cs="Verdana"/>
              <w:color w:val="000000"/>
              <w:sz w:val="16"/>
              <w:szCs w:val="16"/>
            </w:rPr>
            <w:t>5</w:t>
          </w:r>
        </w:p>
        <w:p w14:paraId="1D0440D6" w14:textId="77777777" w:rsidR="00D92ABC" w:rsidRPr="009B21E9" w:rsidRDefault="00D92ABC" w:rsidP="00D92ABC">
          <w:pPr>
            <w:pStyle w:val="Pa2"/>
            <w:spacing w:after="40"/>
            <w:rPr>
              <w:rFonts w:ascii="Verdana" w:hAnsi="Verdana" w:cs="Verdana"/>
              <w:color w:val="000000"/>
              <w:sz w:val="16"/>
              <w:szCs w:val="16"/>
            </w:rPr>
          </w:pPr>
          <w:r w:rsidRPr="009B21E9">
            <w:rPr>
              <w:rFonts w:ascii="Verdana" w:hAnsi="Verdana" w:cs="Verdana"/>
              <w:color w:val="000000"/>
              <w:sz w:val="16"/>
              <w:szCs w:val="16"/>
            </w:rPr>
            <w:t xml:space="preserve">The material in this document is licensed under a Creative Commons Attribution – 4.0 International licence, with the exception of: </w:t>
          </w:r>
        </w:p>
        <w:p w14:paraId="473805AB" w14:textId="77777777" w:rsidR="00D92ABC" w:rsidRPr="009B21E9" w:rsidRDefault="00D92ABC" w:rsidP="00D92ABC">
          <w:pPr>
            <w:pStyle w:val="Default"/>
            <w:numPr>
              <w:ilvl w:val="0"/>
              <w:numId w:val="9"/>
            </w:numPr>
            <w:spacing w:after="5"/>
            <w:ind w:left="1080" w:hanging="360"/>
            <w:rPr>
              <w:sz w:val="16"/>
              <w:szCs w:val="16"/>
            </w:rPr>
          </w:pPr>
          <w:r w:rsidRPr="009B21E9">
            <w:rPr>
              <w:sz w:val="16"/>
              <w:szCs w:val="16"/>
            </w:rPr>
            <w:t xml:space="preserve">the Commonwealth Coat of Arms </w:t>
          </w:r>
        </w:p>
        <w:p w14:paraId="4B3E463D" w14:textId="77777777" w:rsidR="00D92ABC" w:rsidRPr="009B21E9" w:rsidRDefault="00D92ABC" w:rsidP="00D92ABC">
          <w:pPr>
            <w:pStyle w:val="Default"/>
            <w:numPr>
              <w:ilvl w:val="0"/>
              <w:numId w:val="9"/>
            </w:numPr>
            <w:spacing w:after="5"/>
            <w:ind w:left="1080" w:hanging="360"/>
            <w:rPr>
              <w:sz w:val="16"/>
              <w:szCs w:val="16"/>
            </w:rPr>
          </w:pPr>
          <w:r w:rsidRPr="009B21E9">
            <w:rPr>
              <w:sz w:val="16"/>
              <w:szCs w:val="16"/>
            </w:rPr>
            <w:t xml:space="preserve">the Australian Trade and Investment Commission’s logo </w:t>
          </w:r>
        </w:p>
        <w:p w14:paraId="2F197930" w14:textId="62DB72DD" w:rsidR="00D92ABC" w:rsidRPr="009B21E9" w:rsidRDefault="00D92ABC" w:rsidP="00D92ABC">
          <w:pPr>
            <w:pStyle w:val="Default"/>
            <w:numPr>
              <w:ilvl w:val="0"/>
              <w:numId w:val="9"/>
            </w:numPr>
            <w:spacing w:after="5"/>
            <w:ind w:left="1080" w:hanging="360"/>
            <w:rPr>
              <w:sz w:val="16"/>
              <w:szCs w:val="16"/>
            </w:rPr>
          </w:pPr>
          <w:r w:rsidRPr="009B21E9">
            <w:rPr>
              <w:sz w:val="16"/>
              <w:szCs w:val="16"/>
            </w:rPr>
            <w:t>any third</w:t>
          </w:r>
          <w:r w:rsidR="0039522C">
            <w:rPr>
              <w:sz w:val="16"/>
              <w:szCs w:val="16"/>
            </w:rPr>
            <w:t>–</w:t>
          </w:r>
          <w:r w:rsidRPr="009B21E9">
            <w:rPr>
              <w:sz w:val="16"/>
              <w:szCs w:val="16"/>
            </w:rPr>
            <w:t xml:space="preserve">party material </w:t>
          </w:r>
        </w:p>
        <w:p w14:paraId="7F4AF6E8" w14:textId="357DD1EA" w:rsidR="00D92ABC" w:rsidRPr="009B21E9" w:rsidRDefault="00D92ABC" w:rsidP="00D92ABC">
          <w:pPr>
            <w:pStyle w:val="Default"/>
            <w:numPr>
              <w:ilvl w:val="0"/>
              <w:numId w:val="9"/>
            </w:numPr>
            <w:spacing w:after="5"/>
            <w:ind w:left="1080" w:hanging="360"/>
            <w:rPr>
              <w:sz w:val="16"/>
              <w:szCs w:val="16"/>
            </w:rPr>
          </w:pPr>
          <w:r w:rsidRPr="009B21E9">
            <w:rPr>
              <w:sz w:val="16"/>
              <w:szCs w:val="16"/>
            </w:rPr>
            <w:t xml:space="preserve">any material protected by a </w:t>
          </w:r>
          <w:r w:rsidR="001158C2" w:rsidRPr="009B21E9">
            <w:rPr>
              <w:sz w:val="16"/>
              <w:szCs w:val="16"/>
            </w:rPr>
            <w:t>trademark</w:t>
          </w:r>
          <w:r w:rsidRPr="009B21E9">
            <w:rPr>
              <w:sz w:val="16"/>
              <w:szCs w:val="16"/>
            </w:rPr>
            <w:t xml:space="preserve"> </w:t>
          </w:r>
        </w:p>
        <w:p w14:paraId="79EF25A1" w14:textId="77777777" w:rsidR="00D92ABC" w:rsidRPr="009B21E9" w:rsidRDefault="00D92ABC" w:rsidP="00D92ABC">
          <w:pPr>
            <w:pStyle w:val="Default"/>
            <w:numPr>
              <w:ilvl w:val="0"/>
              <w:numId w:val="9"/>
            </w:numPr>
            <w:ind w:left="1080" w:hanging="360"/>
            <w:rPr>
              <w:sz w:val="16"/>
              <w:szCs w:val="16"/>
            </w:rPr>
          </w:pPr>
          <w:r w:rsidRPr="009B21E9">
            <w:rPr>
              <w:sz w:val="16"/>
              <w:szCs w:val="16"/>
            </w:rPr>
            <w:t>any images and photographs.</w:t>
          </w:r>
        </w:p>
        <w:p w14:paraId="66837B5C" w14:textId="77777777" w:rsidR="00D92ABC" w:rsidRPr="009B21E9" w:rsidRDefault="00D92ABC" w:rsidP="00D92ABC">
          <w:pPr>
            <w:rPr>
              <w:rFonts w:cs="Verdana"/>
              <w:color w:val="000000"/>
              <w:sz w:val="16"/>
              <w:szCs w:val="16"/>
            </w:rPr>
          </w:pPr>
          <w:bookmarkStart w:id="36" w:name="_Toc89671613"/>
          <w:bookmarkStart w:id="37" w:name="_Toc95830543"/>
          <w:r w:rsidRPr="009B21E9">
            <w:rPr>
              <w:rFonts w:cs="Verdana"/>
              <w:color w:val="000000"/>
              <w:sz w:val="16"/>
              <w:szCs w:val="16"/>
            </w:rPr>
            <w:t>More information on this CC BY licence is set out at the creative commons website: https://creativecommons.org/licenses/by/4.0/legalcode.</w:t>
          </w:r>
          <w:bookmarkEnd w:id="36"/>
          <w:bookmarkEnd w:id="37"/>
        </w:p>
        <w:p w14:paraId="5D206B96" w14:textId="77777777" w:rsidR="00D92ABC" w:rsidRPr="009B21E9" w:rsidRDefault="00D92ABC" w:rsidP="00D92ABC">
          <w:pPr>
            <w:pStyle w:val="Default"/>
            <w:rPr>
              <w:b/>
              <w:bCs/>
              <w:sz w:val="16"/>
              <w:szCs w:val="16"/>
            </w:rPr>
          </w:pPr>
          <w:r w:rsidRPr="009B21E9">
            <w:rPr>
              <w:b/>
              <w:bCs/>
              <w:sz w:val="16"/>
              <w:szCs w:val="16"/>
            </w:rPr>
            <w:t>Attribution</w:t>
          </w:r>
        </w:p>
        <w:p w14:paraId="3FCC3A4D" w14:textId="77777777" w:rsidR="00D92ABC" w:rsidRPr="009B21E9" w:rsidRDefault="00D92ABC" w:rsidP="00D92ABC">
          <w:pPr>
            <w:pStyle w:val="Default"/>
            <w:rPr>
              <w:rFonts w:asciiTheme="minorHAnsi" w:hAnsiTheme="minorHAnsi" w:cs="AU Sans BETA Text Light"/>
              <w:sz w:val="16"/>
              <w:szCs w:val="16"/>
            </w:rPr>
          </w:pPr>
          <w:r w:rsidRPr="009B21E9">
            <w:rPr>
              <w:sz w:val="16"/>
              <w:szCs w:val="16"/>
            </w:rPr>
            <w:t>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w:t>
          </w:r>
          <w:r w:rsidRPr="009B21E9">
            <w:rPr>
              <w:rFonts w:asciiTheme="minorHAnsi" w:hAnsiTheme="minorHAnsi"/>
              <w:sz w:val="16"/>
              <w:szCs w:val="16"/>
            </w:rPr>
            <w:t>:</w:t>
          </w:r>
          <w:r w:rsidRPr="009B21E9">
            <w:rPr>
              <w:rFonts w:asciiTheme="minorHAnsi" w:hAnsiTheme="minorHAnsi" w:cs="AU Sans BETA Text Light"/>
              <w:sz w:val="16"/>
              <w:szCs w:val="16"/>
            </w:rPr>
            <w:t xml:space="preserve"> </w:t>
          </w:r>
          <w:hyperlink r:id="rId17" w:history="1">
            <w:r w:rsidRPr="009B21E9">
              <w:rPr>
                <w:rStyle w:val="Hyperlink"/>
                <w:rFonts w:asciiTheme="minorHAnsi" w:hAnsiTheme="minorHAnsi" w:cs="AU Sans BETA Text Light"/>
                <w:sz w:val="16"/>
                <w:szCs w:val="16"/>
              </w:rPr>
              <w:t>advisory@austrade.gov.au</w:t>
            </w:r>
          </w:hyperlink>
          <w:r w:rsidRPr="009B21E9">
            <w:rPr>
              <w:rFonts w:asciiTheme="minorHAnsi" w:hAnsiTheme="minorHAnsi" w:cs="AU Sans BETA Text Light"/>
              <w:sz w:val="16"/>
              <w:szCs w:val="16"/>
            </w:rPr>
            <w:t>.</w:t>
          </w:r>
        </w:p>
        <w:p w14:paraId="18E56987" w14:textId="77777777" w:rsidR="00D92ABC" w:rsidRPr="009B21E9" w:rsidRDefault="00D92ABC" w:rsidP="00D92ABC">
          <w:pPr>
            <w:pStyle w:val="Default"/>
            <w:rPr>
              <w:rFonts w:asciiTheme="minorHAnsi" w:hAnsiTheme="minorHAnsi"/>
              <w:b/>
              <w:bCs/>
              <w:sz w:val="16"/>
              <w:szCs w:val="16"/>
            </w:rPr>
          </w:pPr>
        </w:p>
        <w:p w14:paraId="340E1372" w14:textId="77777777" w:rsidR="00D92ABC" w:rsidRPr="009B21E9" w:rsidRDefault="00D92ABC" w:rsidP="00D92ABC">
          <w:pPr>
            <w:pStyle w:val="Default"/>
            <w:rPr>
              <w:sz w:val="16"/>
              <w:szCs w:val="16"/>
            </w:rPr>
          </w:pPr>
          <w:r w:rsidRPr="009B21E9">
            <w:rPr>
              <w:b/>
              <w:bCs/>
              <w:sz w:val="16"/>
              <w:szCs w:val="16"/>
            </w:rPr>
            <w:t xml:space="preserve">Using the Coat of Arms </w:t>
          </w:r>
          <w:r w:rsidRPr="009B21E9">
            <w:rPr>
              <w:sz w:val="16"/>
              <w:szCs w:val="16"/>
            </w:rPr>
            <w:t xml:space="preserve">The terms of use for the Coat of Arms are available on the </w:t>
          </w:r>
          <w:hyperlink r:id="rId18" w:history="1">
            <w:r w:rsidRPr="009B21E9">
              <w:rPr>
                <w:rStyle w:val="Hyperlink"/>
                <w:sz w:val="16"/>
                <w:szCs w:val="16"/>
              </w:rPr>
              <w:t>Department of the Prime Minister and Cabinet</w:t>
            </w:r>
          </w:hyperlink>
          <w:r w:rsidRPr="009B21E9">
            <w:rPr>
              <w:sz w:val="16"/>
              <w:szCs w:val="16"/>
            </w:rPr>
            <w:t xml:space="preserve"> website. </w:t>
          </w:r>
        </w:p>
        <w:p w14:paraId="1B0CC71F" w14:textId="77777777" w:rsidR="00D92ABC" w:rsidRPr="009B21E9" w:rsidRDefault="00D92ABC" w:rsidP="00D92ABC">
          <w:pPr>
            <w:pStyle w:val="Default"/>
            <w:rPr>
              <w:sz w:val="20"/>
              <w:szCs w:val="20"/>
            </w:rPr>
          </w:pPr>
        </w:p>
        <w:p w14:paraId="543FA768" w14:textId="77777777" w:rsidR="00D92ABC" w:rsidRPr="009B21E9" w:rsidRDefault="00D92ABC" w:rsidP="00D92ABC">
          <w:pPr>
            <w:pStyle w:val="Pa2"/>
            <w:spacing w:after="40"/>
            <w:rPr>
              <w:rFonts w:ascii="Verdana" w:hAnsi="Verdana" w:cs="Verdana"/>
              <w:b/>
              <w:bCs/>
              <w:color w:val="000000"/>
              <w:sz w:val="16"/>
              <w:szCs w:val="16"/>
            </w:rPr>
          </w:pPr>
          <w:r w:rsidRPr="009B21E9">
            <w:rPr>
              <w:rFonts w:ascii="Verdana" w:hAnsi="Verdana" w:cs="Verdana"/>
              <w:b/>
              <w:bCs/>
              <w:color w:val="000000"/>
              <w:sz w:val="16"/>
              <w:szCs w:val="16"/>
            </w:rPr>
            <w:t>Disclaimer</w:t>
          </w:r>
        </w:p>
        <w:p w14:paraId="290634FF" w14:textId="77777777" w:rsidR="00D92ABC" w:rsidRPr="009B21E9" w:rsidRDefault="00D92ABC" w:rsidP="00D92ABC">
          <w:pPr>
            <w:pStyle w:val="Pa2"/>
            <w:spacing w:after="40"/>
            <w:rPr>
              <w:rFonts w:ascii="Verdana" w:hAnsi="Verdana" w:cs="Verdana"/>
              <w:color w:val="000000"/>
              <w:sz w:val="16"/>
              <w:szCs w:val="16"/>
            </w:rPr>
          </w:pPr>
          <w:r w:rsidRPr="009B21E9">
            <w:rPr>
              <w:rFonts w:ascii="Verdana" w:hAnsi="Verdana" w:cs="Verdana"/>
              <w:color w:val="000000"/>
              <w:sz w:val="16"/>
              <w:szCs w:val="16"/>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w:t>
          </w:r>
        </w:p>
        <w:p w14:paraId="6E2BE9E9" w14:textId="77777777" w:rsidR="00D92ABC" w:rsidRPr="009B21E9" w:rsidRDefault="00D92ABC" w:rsidP="00D92ABC">
          <w:pPr>
            <w:pStyle w:val="Pa2"/>
            <w:spacing w:after="40"/>
            <w:rPr>
              <w:rFonts w:ascii="Verdana" w:hAnsi="Verdana" w:cs="Verdana"/>
              <w:color w:val="000000"/>
              <w:sz w:val="16"/>
              <w:szCs w:val="16"/>
            </w:rPr>
          </w:pPr>
          <w:r w:rsidRPr="009B21E9">
            <w:rPr>
              <w:rFonts w:ascii="Verdana" w:hAnsi="Verdana" w:cs="Verdana"/>
              <w:color w:val="000000"/>
              <w:sz w:val="16"/>
              <w:szCs w:val="16"/>
            </w:rPr>
            <w:t>While care has been taken to ensure the information in this report is accurate, the Commonwealth does not accept any liability for any loss arising from reliance on the information, or from any error or omission, in the report.</w:t>
          </w:r>
        </w:p>
        <w:p w14:paraId="25B9703B" w14:textId="5E2B9F40" w:rsidR="00D92ABC" w:rsidRPr="009B21E9" w:rsidRDefault="00D92ABC" w:rsidP="00D92ABC">
          <w:pPr>
            <w:pStyle w:val="Default"/>
            <w:rPr>
              <w:bCs/>
              <w:sz w:val="16"/>
              <w:szCs w:val="16"/>
            </w:rPr>
          </w:pPr>
          <w:r w:rsidRPr="009B21E9">
            <w:rPr>
              <w:bCs/>
              <w:sz w:val="16"/>
              <w:szCs w:val="16"/>
            </w:rPr>
            <w:t xml:space="preserve">Any person relying on this information does so at their own risk. The Commonwealth recommends the person exercise their own skill and care, including obtaining professional advice, in relation to their use of the information for their purposes. The Commonwealth does not endorse any company or activity referred to in the </w:t>
          </w:r>
          <w:r w:rsidR="003B59EB" w:rsidRPr="009B21E9">
            <w:rPr>
              <w:bCs/>
              <w:sz w:val="16"/>
              <w:szCs w:val="16"/>
            </w:rPr>
            <w:t>report and</w:t>
          </w:r>
          <w:r w:rsidRPr="009B21E9">
            <w:rPr>
              <w:bCs/>
              <w:sz w:val="16"/>
              <w:szCs w:val="16"/>
            </w:rPr>
            <w:t xml:space="preserve"> does not accept responsibility for any losses suffered in connection with any company or its activities.</w:t>
          </w:r>
        </w:p>
        <w:p w14:paraId="56134027" w14:textId="1E95150D" w:rsidR="00D92ABC" w:rsidRPr="009B21E9" w:rsidRDefault="00D92ABC" w:rsidP="00D92ABC">
          <w:pPr>
            <w:spacing w:after="160" w:line="259" w:lineRule="auto"/>
          </w:pPr>
        </w:p>
        <w:sdt>
          <w:sdtPr>
            <w:rPr>
              <w:rFonts w:ascii="Verdana" w:eastAsiaTheme="minorEastAsia" w:hAnsi="Verdana" w:cstheme="minorBidi"/>
              <w:color w:val="000000" w:themeColor="text1"/>
              <w:sz w:val="20"/>
              <w:szCs w:val="20"/>
              <w:highlight w:val="yellow"/>
              <w:lang w:val="en-AU"/>
            </w:rPr>
            <w:id w:val="-1215348327"/>
            <w:docPartObj>
              <w:docPartGallery w:val="Table of Contents"/>
              <w:docPartUnique/>
            </w:docPartObj>
          </w:sdtPr>
          <w:sdtEndPr>
            <w:rPr>
              <w:b/>
            </w:rPr>
          </w:sdtEndPr>
          <w:sdtContent>
            <w:p w14:paraId="584E95B0" w14:textId="77777777" w:rsidR="008A4FEF" w:rsidRDefault="008A4FEF">
              <w:pPr>
                <w:pStyle w:val="TOCHeading"/>
                <w:rPr>
                  <w:rFonts w:ascii="Verdana" w:eastAsiaTheme="minorEastAsia" w:hAnsi="Verdana" w:cstheme="minorBidi"/>
                  <w:color w:val="000000" w:themeColor="text1"/>
                  <w:sz w:val="20"/>
                  <w:szCs w:val="20"/>
                  <w:highlight w:val="yellow"/>
                  <w:lang w:val="en-AU"/>
                </w:rPr>
              </w:pPr>
            </w:p>
            <w:p w14:paraId="4FF331B2" w14:textId="77777777" w:rsidR="008A4FEF" w:rsidRDefault="008A4FEF">
              <w:pPr>
                <w:spacing w:after="160" w:line="259" w:lineRule="auto"/>
                <w:rPr>
                  <w:rFonts w:eastAsiaTheme="minorEastAsia"/>
                  <w:highlight w:val="yellow"/>
                </w:rPr>
              </w:pPr>
              <w:r>
                <w:rPr>
                  <w:rFonts w:eastAsiaTheme="minorEastAsia"/>
                  <w:highlight w:val="yellow"/>
                </w:rPr>
                <w:br w:type="page"/>
              </w:r>
            </w:p>
            <w:p w14:paraId="7EFC62F1" w14:textId="36441DA1" w:rsidR="00A9455C" w:rsidRDefault="00443B41" w:rsidP="00CD3015">
              <w:pPr>
                <w:pStyle w:val="TOCHeading"/>
                <w:rPr>
                  <w:rFonts w:asciiTheme="minorHAnsi" w:eastAsiaTheme="minorEastAsia" w:hAnsiTheme="minorHAnsi"/>
                  <w:noProof/>
                  <w:color w:val="auto"/>
                  <w:kern w:val="2"/>
                  <w:sz w:val="24"/>
                  <w:szCs w:val="24"/>
                  <w:lang w:eastAsia="en-AU"/>
                  <w14:ligatures w14:val="standardContextual"/>
                </w:rPr>
              </w:pPr>
              <w:r w:rsidRPr="001D473C">
                <w:lastRenderedPageBreak/>
                <w:t>Contents</w:t>
              </w:r>
              <w:r w:rsidR="00A9455C">
                <w:fldChar w:fldCharType="begin"/>
              </w:r>
              <w:r w:rsidR="00A9455C">
                <w:instrText xml:space="preserve"> TOC \o "1-2" \h \z \u </w:instrText>
              </w:r>
              <w:r w:rsidR="00A9455C">
                <w:fldChar w:fldCharType="separate"/>
              </w:r>
            </w:p>
            <w:p w14:paraId="336CBF9F" w14:textId="2D475627"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12" w:history="1">
                <w:r w:rsidRPr="00087C36">
                  <w:rPr>
                    <w:rStyle w:val="Hyperlink"/>
                    <w:noProof/>
                  </w:rPr>
                  <w:t>About this report</w:t>
                </w:r>
                <w:r>
                  <w:rPr>
                    <w:noProof/>
                    <w:webHidden/>
                  </w:rPr>
                  <w:tab/>
                </w:r>
                <w:r>
                  <w:rPr>
                    <w:noProof/>
                    <w:webHidden/>
                  </w:rPr>
                  <w:fldChar w:fldCharType="begin"/>
                </w:r>
                <w:r>
                  <w:rPr>
                    <w:noProof/>
                    <w:webHidden/>
                  </w:rPr>
                  <w:instrText xml:space="preserve"> PAGEREF _Toc191539012 \h </w:instrText>
                </w:r>
                <w:r>
                  <w:rPr>
                    <w:noProof/>
                    <w:webHidden/>
                  </w:rPr>
                </w:r>
                <w:r>
                  <w:rPr>
                    <w:noProof/>
                    <w:webHidden/>
                  </w:rPr>
                  <w:fldChar w:fldCharType="separate"/>
                </w:r>
                <w:r>
                  <w:rPr>
                    <w:noProof/>
                    <w:webHidden/>
                  </w:rPr>
                  <w:t>3</w:t>
                </w:r>
                <w:r>
                  <w:rPr>
                    <w:noProof/>
                    <w:webHidden/>
                  </w:rPr>
                  <w:fldChar w:fldCharType="end"/>
                </w:r>
              </w:hyperlink>
            </w:p>
            <w:p w14:paraId="6E000B34" w14:textId="15551477"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13" w:history="1">
                <w:r w:rsidRPr="00087C36">
                  <w:rPr>
                    <w:rStyle w:val="Hyperlink"/>
                    <w:noProof/>
                  </w:rPr>
                  <w:t>The tourism investment pipeline – a snapshot</w:t>
                </w:r>
                <w:r>
                  <w:rPr>
                    <w:noProof/>
                    <w:webHidden/>
                  </w:rPr>
                  <w:tab/>
                </w:r>
                <w:r>
                  <w:rPr>
                    <w:noProof/>
                    <w:webHidden/>
                  </w:rPr>
                  <w:fldChar w:fldCharType="begin"/>
                </w:r>
                <w:r>
                  <w:rPr>
                    <w:noProof/>
                    <w:webHidden/>
                  </w:rPr>
                  <w:instrText xml:space="preserve"> PAGEREF _Toc191539013 \h </w:instrText>
                </w:r>
                <w:r>
                  <w:rPr>
                    <w:noProof/>
                    <w:webHidden/>
                  </w:rPr>
                </w:r>
                <w:r>
                  <w:rPr>
                    <w:noProof/>
                    <w:webHidden/>
                  </w:rPr>
                  <w:fldChar w:fldCharType="separate"/>
                </w:r>
                <w:r>
                  <w:rPr>
                    <w:noProof/>
                    <w:webHidden/>
                  </w:rPr>
                  <w:t>4</w:t>
                </w:r>
                <w:r>
                  <w:rPr>
                    <w:noProof/>
                    <w:webHidden/>
                  </w:rPr>
                  <w:fldChar w:fldCharType="end"/>
                </w:r>
              </w:hyperlink>
            </w:p>
            <w:p w14:paraId="12BABEEF" w14:textId="3563F72D"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14" w:history="1">
                <w:r w:rsidRPr="00087C36">
                  <w:rPr>
                    <w:rStyle w:val="Hyperlink"/>
                    <w:noProof/>
                  </w:rPr>
                  <w:t>Executive summary</w:t>
                </w:r>
                <w:r>
                  <w:rPr>
                    <w:noProof/>
                    <w:webHidden/>
                  </w:rPr>
                  <w:tab/>
                </w:r>
                <w:r>
                  <w:rPr>
                    <w:noProof/>
                    <w:webHidden/>
                  </w:rPr>
                  <w:fldChar w:fldCharType="begin"/>
                </w:r>
                <w:r>
                  <w:rPr>
                    <w:noProof/>
                    <w:webHidden/>
                  </w:rPr>
                  <w:instrText xml:space="preserve"> PAGEREF _Toc191539014 \h </w:instrText>
                </w:r>
                <w:r>
                  <w:rPr>
                    <w:noProof/>
                    <w:webHidden/>
                  </w:rPr>
                </w:r>
                <w:r>
                  <w:rPr>
                    <w:noProof/>
                    <w:webHidden/>
                  </w:rPr>
                  <w:fldChar w:fldCharType="separate"/>
                </w:r>
                <w:r>
                  <w:rPr>
                    <w:noProof/>
                    <w:webHidden/>
                  </w:rPr>
                  <w:t>5</w:t>
                </w:r>
                <w:r>
                  <w:rPr>
                    <w:noProof/>
                    <w:webHidden/>
                  </w:rPr>
                  <w:fldChar w:fldCharType="end"/>
                </w:r>
              </w:hyperlink>
            </w:p>
            <w:p w14:paraId="213B7FD0" w14:textId="215795C6"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15" w:history="1">
                <w:r w:rsidRPr="00087C36">
                  <w:rPr>
                    <w:rStyle w:val="Hyperlink"/>
                    <w:noProof/>
                  </w:rPr>
                  <w:t>Sector investment overview</w:t>
                </w:r>
                <w:r>
                  <w:rPr>
                    <w:noProof/>
                    <w:webHidden/>
                  </w:rPr>
                  <w:tab/>
                </w:r>
                <w:r>
                  <w:rPr>
                    <w:noProof/>
                    <w:webHidden/>
                  </w:rPr>
                  <w:fldChar w:fldCharType="begin"/>
                </w:r>
                <w:r>
                  <w:rPr>
                    <w:noProof/>
                    <w:webHidden/>
                  </w:rPr>
                  <w:instrText xml:space="preserve"> PAGEREF _Toc191539015 \h </w:instrText>
                </w:r>
                <w:r>
                  <w:rPr>
                    <w:noProof/>
                    <w:webHidden/>
                  </w:rPr>
                </w:r>
                <w:r>
                  <w:rPr>
                    <w:noProof/>
                    <w:webHidden/>
                  </w:rPr>
                  <w:fldChar w:fldCharType="separate"/>
                </w:r>
                <w:r>
                  <w:rPr>
                    <w:noProof/>
                    <w:webHidden/>
                  </w:rPr>
                  <w:t>6</w:t>
                </w:r>
                <w:r>
                  <w:rPr>
                    <w:noProof/>
                    <w:webHidden/>
                  </w:rPr>
                  <w:fldChar w:fldCharType="end"/>
                </w:r>
              </w:hyperlink>
            </w:p>
            <w:p w14:paraId="02A30FC1" w14:textId="3E46CA95"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16" w:history="1">
                <w:r w:rsidRPr="00087C36">
                  <w:rPr>
                    <w:rStyle w:val="Hyperlink"/>
                    <w:noProof/>
                  </w:rPr>
                  <w:t>Project phases overview</w:t>
                </w:r>
                <w:r>
                  <w:rPr>
                    <w:noProof/>
                    <w:webHidden/>
                  </w:rPr>
                  <w:tab/>
                </w:r>
                <w:r>
                  <w:rPr>
                    <w:noProof/>
                    <w:webHidden/>
                  </w:rPr>
                  <w:fldChar w:fldCharType="begin"/>
                </w:r>
                <w:r>
                  <w:rPr>
                    <w:noProof/>
                    <w:webHidden/>
                  </w:rPr>
                  <w:instrText xml:space="preserve"> PAGEREF _Toc191539016 \h </w:instrText>
                </w:r>
                <w:r>
                  <w:rPr>
                    <w:noProof/>
                    <w:webHidden/>
                  </w:rPr>
                </w:r>
                <w:r>
                  <w:rPr>
                    <w:noProof/>
                    <w:webHidden/>
                  </w:rPr>
                  <w:fldChar w:fldCharType="separate"/>
                </w:r>
                <w:r>
                  <w:rPr>
                    <w:noProof/>
                    <w:webHidden/>
                  </w:rPr>
                  <w:t>7</w:t>
                </w:r>
                <w:r>
                  <w:rPr>
                    <w:noProof/>
                    <w:webHidden/>
                  </w:rPr>
                  <w:fldChar w:fldCharType="end"/>
                </w:r>
              </w:hyperlink>
            </w:p>
            <w:p w14:paraId="44A013A3" w14:textId="724DFDC5"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17" w:history="1">
                <w:r w:rsidRPr="00087C36">
                  <w:rPr>
                    <w:rStyle w:val="Hyperlink"/>
                    <w:noProof/>
                  </w:rPr>
                  <w:t>State and territory breakdown of the pipeline</w:t>
                </w:r>
                <w:r>
                  <w:rPr>
                    <w:noProof/>
                    <w:webHidden/>
                  </w:rPr>
                  <w:tab/>
                </w:r>
                <w:r>
                  <w:rPr>
                    <w:noProof/>
                    <w:webHidden/>
                  </w:rPr>
                  <w:fldChar w:fldCharType="begin"/>
                </w:r>
                <w:r>
                  <w:rPr>
                    <w:noProof/>
                    <w:webHidden/>
                  </w:rPr>
                  <w:instrText xml:space="preserve"> PAGEREF _Toc191539017 \h </w:instrText>
                </w:r>
                <w:r>
                  <w:rPr>
                    <w:noProof/>
                    <w:webHidden/>
                  </w:rPr>
                </w:r>
                <w:r>
                  <w:rPr>
                    <w:noProof/>
                    <w:webHidden/>
                  </w:rPr>
                  <w:fldChar w:fldCharType="separate"/>
                </w:r>
                <w:r>
                  <w:rPr>
                    <w:noProof/>
                    <w:webHidden/>
                  </w:rPr>
                  <w:t>8</w:t>
                </w:r>
                <w:r>
                  <w:rPr>
                    <w:noProof/>
                    <w:webHidden/>
                  </w:rPr>
                  <w:fldChar w:fldCharType="end"/>
                </w:r>
              </w:hyperlink>
            </w:p>
            <w:p w14:paraId="4C1E3AB8" w14:textId="1F99F56F"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18" w:history="1">
                <w:r w:rsidRPr="00087C36">
                  <w:rPr>
                    <w:rStyle w:val="Hyperlink"/>
                    <w:noProof/>
                  </w:rPr>
                  <w:t>Aviation results</w:t>
                </w:r>
                <w:r>
                  <w:rPr>
                    <w:noProof/>
                    <w:webHidden/>
                  </w:rPr>
                  <w:tab/>
                </w:r>
                <w:r>
                  <w:rPr>
                    <w:noProof/>
                    <w:webHidden/>
                  </w:rPr>
                  <w:fldChar w:fldCharType="begin"/>
                </w:r>
                <w:r>
                  <w:rPr>
                    <w:noProof/>
                    <w:webHidden/>
                  </w:rPr>
                  <w:instrText xml:space="preserve"> PAGEREF _Toc191539018 \h </w:instrText>
                </w:r>
                <w:r>
                  <w:rPr>
                    <w:noProof/>
                    <w:webHidden/>
                  </w:rPr>
                </w:r>
                <w:r>
                  <w:rPr>
                    <w:noProof/>
                    <w:webHidden/>
                  </w:rPr>
                  <w:fldChar w:fldCharType="separate"/>
                </w:r>
                <w:r>
                  <w:rPr>
                    <w:noProof/>
                    <w:webHidden/>
                  </w:rPr>
                  <w:t>11</w:t>
                </w:r>
                <w:r>
                  <w:rPr>
                    <w:noProof/>
                    <w:webHidden/>
                  </w:rPr>
                  <w:fldChar w:fldCharType="end"/>
                </w:r>
              </w:hyperlink>
            </w:p>
            <w:p w14:paraId="3EBF81E8" w14:textId="22BE4241"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19" w:history="1">
                <w:r w:rsidRPr="00087C36">
                  <w:rPr>
                    <w:rStyle w:val="Hyperlink"/>
                    <w:noProof/>
                  </w:rPr>
                  <w:t>Arts, recreation, and business services results</w:t>
                </w:r>
                <w:r>
                  <w:rPr>
                    <w:noProof/>
                    <w:webHidden/>
                  </w:rPr>
                  <w:tab/>
                </w:r>
                <w:r>
                  <w:rPr>
                    <w:noProof/>
                    <w:webHidden/>
                  </w:rPr>
                  <w:fldChar w:fldCharType="begin"/>
                </w:r>
                <w:r>
                  <w:rPr>
                    <w:noProof/>
                    <w:webHidden/>
                  </w:rPr>
                  <w:instrText xml:space="preserve"> PAGEREF _Toc191539019 \h </w:instrText>
                </w:r>
                <w:r>
                  <w:rPr>
                    <w:noProof/>
                    <w:webHidden/>
                  </w:rPr>
                </w:r>
                <w:r>
                  <w:rPr>
                    <w:noProof/>
                    <w:webHidden/>
                  </w:rPr>
                  <w:fldChar w:fldCharType="separate"/>
                </w:r>
                <w:r>
                  <w:rPr>
                    <w:noProof/>
                    <w:webHidden/>
                  </w:rPr>
                  <w:t>13</w:t>
                </w:r>
                <w:r>
                  <w:rPr>
                    <w:noProof/>
                    <w:webHidden/>
                  </w:rPr>
                  <w:fldChar w:fldCharType="end"/>
                </w:r>
              </w:hyperlink>
            </w:p>
            <w:p w14:paraId="53E76BAF" w14:textId="51213302"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20" w:history="1">
                <w:r w:rsidRPr="00087C36">
                  <w:rPr>
                    <w:rStyle w:val="Hyperlink"/>
                    <w:noProof/>
                  </w:rPr>
                  <w:t>Accommodation results (standalone)</w:t>
                </w:r>
                <w:r>
                  <w:rPr>
                    <w:noProof/>
                    <w:webHidden/>
                  </w:rPr>
                  <w:tab/>
                </w:r>
                <w:r>
                  <w:rPr>
                    <w:noProof/>
                    <w:webHidden/>
                  </w:rPr>
                  <w:fldChar w:fldCharType="begin"/>
                </w:r>
                <w:r>
                  <w:rPr>
                    <w:noProof/>
                    <w:webHidden/>
                  </w:rPr>
                  <w:instrText xml:space="preserve"> PAGEREF _Toc191539020 \h </w:instrText>
                </w:r>
                <w:r>
                  <w:rPr>
                    <w:noProof/>
                    <w:webHidden/>
                  </w:rPr>
                </w:r>
                <w:r>
                  <w:rPr>
                    <w:noProof/>
                    <w:webHidden/>
                  </w:rPr>
                  <w:fldChar w:fldCharType="separate"/>
                </w:r>
                <w:r>
                  <w:rPr>
                    <w:noProof/>
                    <w:webHidden/>
                  </w:rPr>
                  <w:t>16</w:t>
                </w:r>
                <w:r>
                  <w:rPr>
                    <w:noProof/>
                    <w:webHidden/>
                  </w:rPr>
                  <w:fldChar w:fldCharType="end"/>
                </w:r>
              </w:hyperlink>
            </w:p>
            <w:p w14:paraId="701B0092" w14:textId="0FAF096F"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21" w:history="1">
                <w:r w:rsidRPr="00087C36">
                  <w:rPr>
                    <w:rStyle w:val="Hyperlink"/>
                    <w:noProof/>
                  </w:rPr>
                  <w:t>Mixed–use developments</w:t>
                </w:r>
                <w:r>
                  <w:rPr>
                    <w:noProof/>
                    <w:webHidden/>
                  </w:rPr>
                  <w:tab/>
                </w:r>
                <w:r>
                  <w:rPr>
                    <w:noProof/>
                    <w:webHidden/>
                  </w:rPr>
                  <w:fldChar w:fldCharType="begin"/>
                </w:r>
                <w:r>
                  <w:rPr>
                    <w:noProof/>
                    <w:webHidden/>
                  </w:rPr>
                  <w:instrText xml:space="preserve"> PAGEREF _Toc191539021 \h </w:instrText>
                </w:r>
                <w:r>
                  <w:rPr>
                    <w:noProof/>
                    <w:webHidden/>
                  </w:rPr>
                </w:r>
                <w:r>
                  <w:rPr>
                    <w:noProof/>
                    <w:webHidden/>
                  </w:rPr>
                  <w:fldChar w:fldCharType="separate"/>
                </w:r>
                <w:r>
                  <w:rPr>
                    <w:noProof/>
                    <w:webHidden/>
                  </w:rPr>
                  <w:t>18</w:t>
                </w:r>
                <w:r>
                  <w:rPr>
                    <w:noProof/>
                    <w:webHidden/>
                  </w:rPr>
                  <w:fldChar w:fldCharType="end"/>
                </w:r>
              </w:hyperlink>
            </w:p>
            <w:p w14:paraId="56F1E5BC" w14:textId="457C53B9"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22" w:history="1">
                <w:r w:rsidRPr="00087C36">
                  <w:rPr>
                    <w:rStyle w:val="Hyperlink"/>
                    <w:noProof/>
                  </w:rPr>
                  <w:t>Mixed–use accommodation results</w:t>
                </w:r>
                <w:r>
                  <w:rPr>
                    <w:noProof/>
                    <w:webHidden/>
                  </w:rPr>
                  <w:tab/>
                </w:r>
                <w:r>
                  <w:rPr>
                    <w:noProof/>
                    <w:webHidden/>
                  </w:rPr>
                  <w:fldChar w:fldCharType="begin"/>
                </w:r>
                <w:r>
                  <w:rPr>
                    <w:noProof/>
                    <w:webHidden/>
                  </w:rPr>
                  <w:instrText xml:space="preserve"> PAGEREF _Toc191539022 \h </w:instrText>
                </w:r>
                <w:r>
                  <w:rPr>
                    <w:noProof/>
                    <w:webHidden/>
                  </w:rPr>
                </w:r>
                <w:r>
                  <w:rPr>
                    <w:noProof/>
                    <w:webHidden/>
                  </w:rPr>
                  <w:fldChar w:fldCharType="separate"/>
                </w:r>
                <w:r>
                  <w:rPr>
                    <w:noProof/>
                    <w:webHidden/>
                  </w:rPr>
                  <w:t>18</w:t>
                </w:r>
                <w:r>
                  <w:rPr>
                    <w:noProof/>
                    <w:webHidden/>
                  </w:rPr>
                  <w:fldChar w:fldCharType="end"/>
                </w:r>
              </w:hyperlink>
            </w:p>
            <w:p w14:paraId="19075183" w14:textId="2F3BCDB6" w:rsidR="00A9455C" w:rsidRDefault="00A9455C">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91539023" w:history="1">
                <w:r w:rsidRPr="00087C36">
                  <w:rPr>
                    <w:rStyle w:val="Hyperlink"/>
                    <w:noProof/>
                  </w:rPr>
                  <w:t>Methodology</w:t>
                </w:r>
                <w:r>
                  <w:rPr>
                    <w:noProof/>
                    <w:webHidden/>
                  </w:rPr>
                  <w:tab/>
                </w:r>
                <w:r>
                  <w:rPr>
                    <w:noProof/>
                    <w:webHidden/>
                  </w:rPr>
                  <w:fldChar w:fldCharType="begin"/>
                </w:r>
                <w:r>
                  <w:rPr>
                    <w:noProof/>
                    <w:webHidden/>
                  </w:rPr>
                  <w:instrText xml:space="preserve"> PAGEREF _Toc191539023 \h </w:instrText>
                </w:r>
                <w:r>
                  <w:rPr>
                    <w:noProof/>
                    <w:webHidden/>
                  </w:rPr>
                </w:r>
                <w:r>
                  <w:rPr>
                    <w:noProof/>
                    <w:webHidden/>
                  </w:rPr>
                  <w:fldChar w:fldCharType="separate"/>
                </w:r>
                <w:r>
                  <w:rPr>
                    <w:noProof/>
                    <w:webHidden/>
                  </w:rPr>
                  <w:t>21</w:t>
                </w:r>
                <w:r>
                  <w:rPr>
                    <w:noProof/>
                    <w:webHidden/>
                  </w:rPr>
                  <w:fldChar w:fldCharType="end"/>
                </w:r>
              </w:hyperlink>
            </w:p>
            <w:p w14:paraId="5AB18646" w14:textId="48CEDDDD" w:rsidR="00443B41" w:rsidRPr="00CD1584" w:rsidRDefault="00A9455C">
              <w:pPr>
                <w:rPr>
                  <w:highlight w:val="yellow"/>
                </w:rPr>
              </w:pPr>
              <w:r>
                <w:fldChar w:fldCharType="end"/>
              </w:r>
            </w:p>
          </w:sdtContent>
        </w:sdt>
        <w:p w14:paraId="66A9DD28" w14:textId="13B6715B" w:rsidR="00501469" w:rsidRPr="00CD1584" w:rsidRDefault="00501469">
          <w:pPr>
            <w:spacing w:after="160" w:line="259" w:lineRule="auto"/>
            <w:rPr>
              <w:highlight w:val="yellow"/>
            </w:rPr>
          </w:pPr>
          <w:r w:rsidRPr="00CD1584">
            <w:rPr>
              <w:b/>
              <w:bCs/>
              <w:highlight w:val="yellow"/>
            </w:rPr>
            <w:br w:type="page"/>
          </w:r>
        </w:p>
      </w:sdtContent>
    </w:sdt>
    <w:p w14:paraId="47429AA2" w14:textId="24CD369C" w:rsidR="00513D27" w:rsidRPr="009B21E9" w:rsidRDefault="00513D27" w:rsidP="008F04BC">
      <w:pPr>
        <w:pStyle w:val="Heading2"/>
        <w:rPr>
          <w:bCs w:val="0"/>
        </w:rPr>
      </w:pPr>
      <w:bookmarkStart w:id="38" w:name="_Toc191539012"/>
      <w:r w:rsidRPr="009B21E9">
        <w:lastRenderedPageBreak/>
        <w:t>About this report</w:t>
      </w:r>
      <w:bookmarkEnd w:id="38"/>
    </w:p>
    <w:p w14:paraId="3D52F567" w14:textId="40294679" w:rsidR="0037231F" w:rsidRPr="009B21E9" w:rsidRDefault="0037231F" w:rsidP="0037231F">
      <w:bookmarkStart w:id="39" w:name="_Hlk96952905"/>
      <w:r w:rsidRPr="009B21E9">
        <w:t xml:space="preserve">Tourism Research Australia (TRA) compiles the Tourism Investment Monitor to </w:t>
      </w:r>
      <w:bookmarkEnd w:id="39"/>
      <w:r w:rsidRPr="009B21E9">
        <w:t xml:space="preserve">provide an annual update on the investment aspect of the visitor economy’s performance. </w:t>
      </w:r>
      <w:bookmarkStart w:id="40" w:name="_Hlk96952921"/>
      <w:r w:rsidRPr="009B21E9">
        <w:t>The report is a point</w:t>
      </w:r>
      <w:r w:rsidR="0039522C">
        <w:t>–</w:t>
      </w:r>
      <w:r w:rsidRPr="009B21E9">
        <w:t>in</w:t>
      </w:r>
      <w:r w:rsidR="0039522C">
        <w:t>–</w:t>
      </w:r>
      <w:r w:rsidRPr="009B21E9">
        <w:t xml:space="preserve">time measure of investment (planned and committed) in fixed assets related to Australia's tourism sector. </w:t>
      </w:r>
      <w:bookmarkEnd w:id="40"/>
      <w:r w:rsidRPr="009B21E9">
        <w:t xml:space="preserve">It reports on the stock and the progress of new projects at each stage of development as </w:t>
      </w:r>
      <w:r w:rsidR="003D7D6C">
        <w:t>at</w:t>
      </w:r>
      <w:r w:rsidRPr="009B21E9">
        <w:t xml:space="preserve"> 30 June 202</w:t>
      </w:r>
      <w:r w:rsidR="00532D23" w:rsidRPr="009B21E9">
        <w:t>4</w:t>
      </w:r>
      <w:r w:rsidRPr="009B21E9">
        <w:t>. Investment projects are classified as</w:t>
      </w:r>
      <w:r w:rsidR="0010323D">
        <w:t>:</w:t>
      </w:r>
      <w:r w:rsidRPr="009B21E9">
        <w:t xml:space="preserve"> proposed, in the planning stage, or under construction.</w:t>
      </w:r>
    </w:p>
    <w:p w14:paraId="329D4829" w14:textId="21404EBB" w:rsidR="0037231F" w:rsidRPr="009B21E9" w:rsidRDefault="0037231F" w:rsidP="0037231F">
      <w:r w:rsidRPr="009B21E9">
        <w:t>The 202</w:t>
      </w:r>
      <w:r w:rsidR="002C2927" w:rsidRPr="009B21E9">
        <w:t>3</w:t>
      </w:r>
      <w:r w:rsidRPr="009B21E9">
        <w:t>–2</w:t>
      </w:r>
      <w:r w:rsidR="002C2927" w:rsidRPr="009B21E9">
        <w:t>4</w:t>
      </w:r>
      <w:r w:rsidRPr="009B21E9">
        <w:t xml:space="preserve"> tourism investment pipeline represents all known major tourism</w:t>
      </w:r>
      <w:r w:rsidR="0039522C">
        <w:t>–</w:t>
      </w:r>
      <w:r w:rsidRPr="009B21E9">
        <w:t>related projects having an estimated financial value of $20 million or more in 3 main tourism segments:</w:t>
      </w:r>
    </w:p>
    <w:p w14:paraId="56E61B45" w14:textId="77777777" w:rsidR="0037231F" w:rsidRPr="009B21E9" w:rsidRDefault="0037231F" w:rsidP="00A03FFB">
      <w:pPr>
        <w:pStyle w:val="BulletList"/>
      </w:pPr>
      <w:r w:rsidRPr="009B21E9">
        <w:t>aviation</w:t>
      </w:r>
    </w:p>
    <w:p w14:paraId="54B0FFC1" w14:textId="77777777" w:rsidR="0037231F" w:rsidRPr="009B21E9" w:rsidRDefault="0037231F" w:rsidP="00A03FFB">
      <w:pPr>
        <w:pStyle w:val="BulletList"/>
      </w:pPr>
      <w:r w:rsidRPr="009B21E9">
        <w:t xml:space="preserve">arts, recreation, and business services </w:t>
      </w:r>
    </w:p>
    <w:p w14:paraId="25507937" w14:textId="77777777" w:rsidR="0037231F" w:rsidRPr="009B21E9" w:rsidRDefault="0037231F" w:rsidP="00A03FFB">
      <w:pPr>
        <w:pStyle w:val="BulletList"/>
      </w:pPr>
      <w:r w:rsidRPr="009B21E9">
        <w:t>accommodation.</w:t>
      </w:r>
    </w:p>
    <w:p w14:paraId="1B46EE40" w14:textId="77777777" w:rsidR="0037231F" w:rsidRPr="009B21E9" w:rsidRDefault="0037231F" w:rsidP="0037231F">
      <w:r w:rsidRPr="009B21E9">
        <w:t>TRA analyses Australia's tourism investment pipeline to show:</w:t>
      </w:r>
    </w:p>
    <w:p w14:paraId="0B2EDABB" w14:textId="77777777" w:rsidR="0037231F" w:rsidRPr="009B21E9" w:rsidRDefault="0037231F" w:rsidP="00A03FFB">
      <w:pPr>
        <w:pStyle w:val="BulletList"/>
      </w:pPr>
      <w:r w:rsidRPr="009B21E9">
        <w:t>recent trends</w:t>
      </w:r>
    </w:p>
    <w:p w14:paraId="1F89E45E" w14:textId="77777777" w:rsidR="0037231F" w:rsidRPr="009B21E9" w:rsidRDefault="0037231F" w:rsidP="00A03FFB">
      <w:pPr>
        <w:pStyle w:val="BulletList"/>
      </w:pPr>
      <w:r w:rsidRPr="009B21E9">
        <w:t>location of projects</w:t>
      </w:r>
    </w:p>
    <w:p w14:paraId="080AB8FA" w14:textId="70C522ED" w:rsidR="0037231F" w:rsidRPr="009B21E9" w:rsidRDefault="0037231F" w:rsidP="00A03FFB">
      <w:pPr>
        <w:pStyle w:val="BulletList"/>
      </w:pPr>
      <w:r w:rsidRPr="009B21E9">
        <w:t xml:space="preserve">progress through stages of the development </w:t>
      </w:r>
      <w:r w:rsidR="003D7D6C">
        <w:t>pipeline</w:t>
      </w:r>
      <w:r w:rsidRPr="009B21E9">
        <w:t>.</w:t>
      </w:r>
    </w:p>
    <w:p w14:paraId="1E670598" w14:textId="3B62BCAE" w:rsidR="0037231F" w:rsidRPr="009B21E9" w:rsidRDefault="001F008B" w:rsidP="0037231F">
      <w:pPr>
        <w:spacing w:before="120"/>
      </w:pPr>
      <w:r w:rsidRPr="009B21E9">
        <w:t xml:space="preserve">For </w:t>
      </w:r>
      <w:r w:rsidR="00AD3E47" w:rsidRPr="009B21E9">
        <w:t xml:space="preserve">accommodation, there are multiple types we have accounted for. </w:t>
      </w:r>
      <w:r w:rsidR="0037231F" w:rsidRPr="009B21E9">
        <w:t>Th</w:t>
      </w:r>
      <w:r w:rsidR="001B0172">
        <w:t>is</w:t>
      </w:r>
      <w:r w:rsidR="00D965F6" w:rsidRPr="009B21E9">
        <w:t xml:space="preserve"> report </w:t>
      </w:r>
      <w:r w:rsidR="0037231F" w:rsidRPr="009B21E9">
        <w:t>includes a section on standalone accommodation projects which excludes mixed</w:t>
      </w:r>
      <w:r w:rsidR="0039522C">
        <w:t>–</w:t>
      </w:r>
      <w:r w:rsidR="0037231F" w:rsidRPr="009B21E9">
        <w:t>use developments</w:t>
      </w:r>
      <w:r w:rsidR="00D965F6" w:rsidRPr="009B21E9">
        <w:t xml:space="preserve"> to understand the absolute impact of these investments</w:t>
      </w:r>
      <w:r w:rsidR="0037231F" w:rsidRPr="009B21E9">
        <w:t>. However, mixed</w:t>
      </w:r>
      <w:r w:rsidR="0039522C">
        <w:t>–</w:t>
      </w:r>
      <w:r w:rsidR="0037231F" w:rsidRPr="009B21E9">
        <w:t>use developments are an important contributor to the visitor economy, so</w:t>
      </w:r>
      <w:r w:rsidR="00D965F6" w:rsidRPr="009B21E9">
        <w:t xml:space="preserve"> a separate</w:t>
      </w:r>
      <w:r w:rsidR="00163774" w:rsidRPr="009B21E9">
        <w:t xml:space="preserve"> section o</w:t>
      </w:r>
      <w:r w:rsidR="0037231F" w:rsidRPr="009B21E9">
        <w:t>n the value and volume of mixed</w:t>
      </w:r>
      <w:r w:rsidR="0039522C">
        <w:t>–</w:t>
      </w:r>
      <w:r w:rsidR="0037231F" w:rsidRPr="009B21E9">
        <w:t xml:space="preserve">use developments that contain a tourism component is </w:t>
      </w:r>
      <w:r w:rsidR="00F3299B">
        <w:t>also</w:t>
      </w:r>
      <w:r w:rsidR="0037231F" w:rsidRPr="009B21E9">
        <w:t xml:space="preserve"> </w:t>
      </w:r>
      <w:r w:rsidR="00C07444">
        <w:t>included</w:t>
      </w:r>
      <w:r w:rsidR="0037231F" w:rsidRPr="009B21E9">
        <w:t xml:space="preserve"> in this report.</w:t>
      </w:r>
    </w:p>
    <w:p w14:paraId="2DB666AA" w14:textId="0E447B8D" w:rsidR="0037231F" w:rsidRPr="009B21E9" w:rsidRDefault="0037231F" w:rsidP="0037231F">
      <w:pPr>
        <w:spacing w:before="120"/>
      </w:pPr>
      <w:r w:rsidRPr="00BA7E5B">
        <w:t>Changes over time in the number, type and value of investment projects can be a forward</w:t>
      </w:r>
      <w:r w:rsidR="0039522C">
        <w:t>–</w:t>
      </w:r>
      <w:r w:rsidRPr="00BA7E5B">
        <w:t>looking indicator of confidence within the sector</w:t>
      </w:r>
      <w:r w:rsidRPr="00BA7E5B">
        <w:rPr>
          <w:rFonts w:ascii="Segoe UI" w:hAnsi="Segoe UI" w:cs="Segoe UI"/>
          <w:color w:val="000000"/>
          <w14:ligatures w14:val="standardContextual"/>
        </w:rPr>
        <w:t xml:space="preserve"> </w:t>
      </w:r>
      <w:r w:rsidRPr="00BA7E5B">
        <w:t>regarding future tourism demand.</w:t>
      </w:r>
      <w:r w:rsidRPr="009B21E9">
        <w:t xml:space="preserve"> TRA’s year</w:t>
      </w:r>
      <w:r w:rsidR="0039522C">
        <w:t>–</w:t>
      </w:r>
      <w:r w:rsidRPr="009B21E9">
        <w:t>by</w:t>
      </w:r>
      <w:r w:rsidR="0039522C">
        <w:t>–</w:t>
      </w:r>
      <w:r w:rsidRPr="009B21E9">
        <w:t>year stocktake of tourism investment projects facilitates insights into this area of investor confidence. Investment in the sector is vital to support its capacity to grow and adapt to future tourism demand and traveller expectations.</w:t>
      </w:r>
    </w:p>
    <w:p w14:paraId="47B66114" w14:textId="70BAD3FE" w:rsidR="00683A10" w:rsidRPr="00194B9F" w:rsidRDefault="00194B9F" w:rsidP="00194B9F">
      <w:pPr>
        <w:spacing w:before="120"/>
      </w:pPr>
      <w:r>
        <w:t xml:space="preserve">Note: </w:t>
      </w:r>
      <w:r w:rsidR="00683A10" w:rsidRPr="00194B9F">
        <w:t>The term 'tourism' in the international standards is not restricted to leisure activity. It includes travel for business or other reasons, such as education, provided the destination is outside the person's usual environment.</w:t>
      </w:r>
      <w:r w:rsidR="00683A10" w:rsidRPr="009B21E9">
        <w:t xml:space="preserve"> </w:t>
      </w:r>
      <w:r w:rsidR="00683A10" w:rsidRPr="00194B9F">
        <w:t xml:space="preserve">Visitor demand for travel experiences, </w:t>
      </w:r>
      <w:r w:rsidR="00D577E5" w:rsidRPr="00194B9F">
        <w:t>transport</w:t>
      </w:r>
      <w:r w:rsidR="00683A10" w:rsidRPr="00194B9F">
        <w:t xml:space="preserve"> and accommodation need to be complemented by supply</w:t>
      </w:r>
      <w:r w:rsidR="0039522C">
        <w:t>–</w:t>
      </w:r>
      <w:r w:rsidR="00683A10" w:rsidRPr="00194B9F">
        <w:t>side capacity. This report monitors investments in the key tourism</w:t>
      </w:r>
      <w:r w:rsidR="0039522C">
        <w:t>–</w:t>
      </w:r>
      <w:r w:rsidR="00683A10" w:rsidRPr="00194B9F">
        <w:t xml:space="preserve">related supply side areas of aviation, arts, recreation, and business services and accommodation.  </w:t>
      </w:r>
    </w:p>
    <w:p w14:paraId="6835A9BC" w14:textId="77777777" w:rsidR="0037231F" w:rsidRPr="00CD1584" w:rsidRDefault="0037231F" w:rsidP="0037231F">
      <w:pPr>
        <w:spacing w:before="120"/>
        <w:rPr>
          <w:highlight w:val="yellow"/>
        </w:rPr>
      </w:pPr>
    </w:p>
    <w:p w14:paraId="67AC4940" w14:textId="49564BA5" w:rsidR="00513D27" w:rsidRPr="00CD1584" w:rsidRDefault="00513D27" w:rsidP="00513D27">
      <w:pPr>
        <w:spacing w:after="160" w:line="259" w:lineRule="auto"/>
        <w:rPr>
          <w:rFonts w:eastAsia="SimSun" w:cs="Times New Roman"/>
          <w:bCs/>
          <w:color w:val="3D2141" w:themeColor="accent1" w:themeShade="80"/>
          <w:sz w:val="32"/>
          <w:szCs w:val="26"/>
          <w:highlight w:val="yellow"/>
          <w:lang w:eastAsia="zh-CN"/>
        </w:rPr>
      </w:pPr>
      <w:r w:rsidRPr="00CD1584">
        <w:rPr>
          <w:highlight w:val="yellow"/>
        </w:rPr>
        <w:br w:type="page"/>
      </w:r>
    </w:p>
    <w:p w14:paraId="3BBF66F4" w14:textId="5EC8E4D8" w:rsidR="0037231F" w:rsidRPr="008C7F69" w:rsidRDefault="0037231F" w:rsidP="00EB790B">
      <w:pPr>
        <w:pStyle w:val="Heading2"/>
      </w:pPr>
      <w:bookmarkStart w:id="41" w:name="_Toc126933023"/>
      <w:bookmarkStart w:id="42" w:name="_Toc126933907"/>
      <w:bookmarkStart w:id="43" w:name="_Toc153782351"/>
      <w:bookmarkStart w:id="44" w:name="_Toc388464833"/>
      <w:bookmarkStart w:id="45" w:name="_Toc191539013"/>
      <w:r w:rsidRPr="008C7F69">
        <w:lastRenderedPageBreak/>
        <w:t>The tourism investment pipeline</w:t>
      </w:r>
      <w:bookmarkEnd w:id="41"/>
      <w:bookmarkEnd w:id="42"/>
      <w:r w:rsidRPr="008C7F69">
        <w:t xml:space="preserve"> – a snapshot</w:t>
      </w:r>
      <w:bookmarkEnd w:id="43"/>
      <w:bookmarkEnd w:id="45"/>
      <w:r w:rsidRPr="008C7F69">
        <w:t xml:space="preserve"> </w:t>
      </w:r>
      <w:bookmarkEnd w:id="44"/>
    </w:p>
    <w:tbl>
      <w:tblPr>
        <w:tblStyle w:val="TableGrid"/>
        <w:tblW w:w="5000" w:type="pct"/>
        <w:tblLook w:val="04A0" w:firstRow="1" w:lastRow="0" w:firstColumn="1" w:lastColumn="0" w:noHBand="0" w:noVBand="1"/>
        <w:tblCaption w:val="Tourism investment pipeline 2023-24"/>
        <w:tblDescription w:val="$63.4 billion&#10;346 projects&#10;Change from 2022–23:&#10;Up $7.3 billion&#10;Up 39 projects&#10;"/>
      </w:tblPr>
      <w:tblGrid>
        <w:gridCol w:w="9958"/>
      </w:tblGrid>
      <w:tr w:rsidR="0037231F" w:rsidRPr="00CD1584" w14:paraId="37E2DABD" w14:textId="77777777" w:rsidTr="004F7D97">
        <w:trPr>
          <w:trHeight w:val="650"/>
        </w:trPr>
        <w:tc>
          <w:tcPr>
            <w:tcW w:w="5000" w:type="pct"/>
            <w:shd w:val="clear" w:color="auto" w:fill="2E1A47" w:themeFill="text2"/>
            <w:vAlign w:val="center"/>
          </w:tcPr>
          <w:p w14:paraId="6BC6777D" w14:textId="6F0F6EA7" w:rsidR="0037231F" w:rsidRPr="00CD1584" w:rsidRDefault="0037231F" w:rsidP="004F7D97">
            <w:pPr>
              <w:jc w:val="center"/>
              <w:rPr>
                <w:b/>
                <w:color w:val="FFFFFF" w:themeColor="background1"/>
                <w:highlight w:val="yellow"/>
              </w:rPr>
            </w:pPr>
            <w:r w:rsidRPr="00DD1088">
              <w:rPr>
                <w:b/>
                <w:color w:val="FFFFFF" w:themeColor="background1"/>
              </w:rPr>
              <w:t xml:space="preserve">Tourism investment pipeline </w:t>
            </w:r>
            <w:r w:rsidR="007E3F7A" w:rsidRPr="00DD1088">
              <w:rPr>
                <w:b/>
                <w:color w:val="FFFFFF" w:themeColor="background1"/>
              </w:rPr>
              <w:t>2023</w:t>
            </w:r>
            <w:r w:rsidR="0039522C">
              <w:rPr>
                <w:b/>
                <w:color w:val="FFFFFF" w:themeColor="background1"/>
              </w:rPr>
              <w:t>–</w:t>
            </w:r>
            <w:r w:rsidR="007E3F7A" w:rsidRPr="00DD1088">
              <w:rPr>
                <w:b/>
                <w:color w:val="FFFFFF" w:themeColor="background1"/>
              </w:rPr>
              <w:t>24</w:t>
            </w:r>
            <w:r w:rsidR="00F708A6" w:rsidRPr="00DD1088">
              <w:rPr>
                <w:b/>
                <w:color w:val="FFFFFF" w:themeColor="background1"/>
              </w:rPr>
              <w:t>*</w:t>
            </w:r>
          </w:p>
        </w:tc>
      </w:tr>
      <w:tr w:rsidR="0037231F" w:rsidRPr="00CD1584" w14:paraId="4D8C2ACF" w14:textId="77777777" w:rsidTr="004F7D97">
        <w:trPr>
          <w:trHeight w:val="531"/>
        </w:trPr>
        <w:tc>
          <w:tcPr>
            <w:tcW w:w="5000" w:type="pct"/>
            <w:vAlign w:val="center"/>
          </w:tcPr>
          <w:p w14:paraId="14EE66E5" w14:textId="36464FB2" w:rsidR="0037231F" w:rsidRPr="00280DAF" w:rsidRDefault="0037231F" w:rsidP="0069020E">
            <w:pPr>
              <w:spacing w:line="276" w:lineRule="auto"/>
              <w:jc w:val="center"/>
              <w:rPr>
                <w:b/>
                <w:bCs/>
                <w:lang w:eastAsia="en-AU"/>
              </w:rPr>
            </w:pPr>
            <w:r w:rsidRPr="00280DAF">
              <w:rPr>
                <w:b/>
                <w:bCs/>
                <w:lang w:eastAsia="en-AU"/>
              </w:rPr>
              <w:t>$</w:t>
            </w:r>
            <w:r w:rsidR="008D5A69" w:rsidRPr="00280DAF">
              <w:rPr>
                <w:b/>
                <w:bCs/>
                <w:lang w:eastAsia="en-AU"/>
              </w:rPr>
              <w:t>6</w:t>
            </w:r>
            <w:r w:rsidR="000548D7" w:rsidRPr="00280DAF">
              <w:rPr>
                <w:b/>
                <w:bCs/>
                <w:lang w:eastAsia="en-AU"/>
              </w:rPr>
              <w:t>3</w:t>
            </w:r>
            <w:r w:rsidR="005A3FCC">
              <w:rPr>
                <w:b/>
                <w:bCs/>
                <w:lang w:eastAsia="en-AU"/>
              </w:rPr>
              <w:t>.4</w:t>
            </w:r>
            <w:r w:rsidRPr="00280DAF">
              <w:rPr>
                <w:b/>
                <w:bCs/>
                <w:lang w:eastAsia="en-AU"/>
              </w:rPr>
              <w:t xml:space="preserve"> billion</w:t>
            </w:r>
          </w:p>
          <w:p w14:paraId="010F9322" w14:textId="01B46458" w:rsidR="0037231F" w:rsidRPr="00280DAF" w:rsidRDefault="00C737E2" w:rsidP="0069020E">
            <w:pPr>
              <w:spacing w:line="276" w:lineRule="auto"/>
              <w:jc w:val="center"/>
              <w:rPr>
                <w:b/>
                <w:bCs/>
                <w:lang w:eastAsia="en-AU"/>
              </w:rPr>
            </w:pPr>
            <w:r w:rsidRPr="00280DAF">
              <w:rPr>
                <w:b/>
                <w:bCs/>
                <w:lang w:eastAsia="en-AU"/>
              </w:rPr>
              <w:t>3</w:t>
            </w:r>
            <w:r w:rsidR="00CA6B36">
              <w:rPr>
                <w:b/>
                <w:bCs/>
                <w:lang w:eastAsia="en-AU"/>
              </w:rPr>
              <w:t>46</w:t>
            </w:r>
            <w:r w:rsidR="0037231F" w:rsidRPr="00280DAF">
              <w:rPr>
                <w:b/>
                <w:bCs/>
                <w:lang w:eastAsia="en-AU"/>
              </w:rPr>
              <w:t xml:space="preserve"> projects</w:t>
            </w:r>
          </w:p>
        </w:tc>
      </w:tr>
      <w:tr w:rsidR="0037231F" w:rsidRPr="00CD1584" w14:paraId="3370AB4E" w14:textId="77777777" w:rsidTr="004F7D97">
        <w:trPr>
          <w:trHeight w:val="935"/>
        </w:trPr>
        <w:tc>
          <w:tcPr>
            <w:tcW w:w="5000" w:type="pct"/>
            <w:vAlign w:val="center"/>
          </w:tcPr>
          <w:p w14:paraId="15532E88" w14:textId="44A07B12" w:rsidR="0037231F" w:rsidRPr="00280DAF" w:rsidRDefault="0037231F" w:rsidP="0069020E">
            <w:pPr>
              <w:spacing w:line="276" w:lineRule="auto"/>
              <w:jc w:val="center"/>
              <w:rPr>
                <w:lang w:eastAsia="en-AU"/>
              </w:rPr>
            </w:pPr>
            <w:r w:rsidRPr="00280DAF">
              <w:rPr>
                <w:lang w:eastAsia="en-AU"/>
              </w:rPr>
              <w:t>Change from 202</w:t>
            </w:r>
            <w:r w:rsidR="009E2A98" w:rsidRPr="00280DAF">
              <w:rPr>
                <w:lang w:eastAsia="en-AU"/>
              </w:rPr>
              <w:t>2</w:t>
            </w:r>
            <w:r w:rsidR="0039522C">
              <w:rPr>
                <w:lang w:eastAsia="en-AU"/>
              </w:rPr>
              <w:t>–</w:t>
            </w:r>
            <w:r w:rsidRPr="00280DAF">
              <w:rPr>
                <w:lang w:eastAsia="en-AU"/>
              </w:rPr>
              <w:t>2</w:t>
            </w:r>
            <w:r w:rsidR="009E2A98" w:rsidRPr="00280DAF">
              <w:rPr>
                <w:lang w:eastAsia="en-AU"/>
              </w:rPr>
              <w:t>3</w:t>
            </w:r>
            <w:r w:rsidRPr="00280DAF">
              <w:rPr>
                <w:lang w:eastAsia="en-AU"/>
              </w:rPr>
              <w:t>:</w:t>
            </w:r>
          </w:p>
          <w:p w14:paraId="332CC27E" w14:textId="0DE22981" w:rsidR="0037231F" w:rsidRPr="00280DAF" w:rsidRDefault="0037231F" w:rsidP="0069020E">
            <w:pPr>
              <w:spacing w:line="276" w:lineRule="auto"/>
              <w:jc w:val="center"/>
              <w:rPr>
                <w:lang w:eastAsia="en-AU"/>
              </w:rPr>
            </w:pPr>
            <w:r w:rsidRPr="00280DAF">
              <w:rPr>
                <w:lang w:eastAsia="en-AU"/>
              </w:rPr>
              <w:t>Up $</w:t>
            </w:r>
            <w:r w:rsidR="00D94E5E" w:rsidRPr="00B96A41">
              <w:rPr>
                <w:lang w:eastAsia="en-AU"/>
              </w:rPr>
              <w:t>7.</w:t>
            </w:r>
            <w:r w:rsidR="00B96A41" w:rsidRPr="00B96A41">
              <w:rPr>
                <w:lang w:eastAsia="en-AU"/>
              </w:rPr>
              <w:t>3</w:t>
            </w:r>
            <w:r w:rsidRPr="00B96A41">
              <w:rPr>
                <w:lang w:eastAsia="en-AU"/>
              </w:rPr>
              <w:t xml:space="preserve"> billion</w:t>
            </w:r>
          </w:p>
          <w:p w14:paraId="1F985E91" w14:textId="385EF475" w:rsidR="0037231F" w:rsidRPr="00280DAF" w:rsidRDefault="0037231F" w:rsidP="0069020E">
            <w:pPr>
              <w:spacing w:line="276" w:lineRule="auto"/>
              <w:jc w:val="center"/>
              <w:rPr>
                <w:lang w:eastAsia="en-AU"/>
              </w:rPr>
            </w:pPr>
            <w:r w:rsidRPr="00280DAF">
              <w:rPr>
                <w:lang w:eastAsia="en-AU"/>
              </w:rPr>
              <w:t xml:space="preserve">Up </w:t>
            </w:r>
            <w:r w:rsidR="00B01848">
              <w:rPr>
                <w:lang w:eastAsia="en-AU"/>
              </w:rPr>
              <w:t>39</w:t>
            </w:r>
            <w:r w:rsidRPr="00280DAF">
              <w:rPr>
                <w:lang w:eastAsia="en-AU"/>
              </w:rPr>
              <w:t xml:space="preserve"> projects</w:t>
            </w:r>
          </w:p>
        </w:tc>
      </w:tr>
    </w:tbl>
    <w:p w14:paraId="15D38CA4" w14:textId="77777777" w:rsidR="00771F07" w:rsidRDefault="00771F07"/>
    <w:tbl>
      <w:tblPr>
        <w:tblStyle w:val="TableGrid"/>
        <w:tblW w:w="5000" w:type="pct"/>
        <w:tblLook w:val="04A0" w:firstRow="1" w:lastRow="0" w:firstColumn="1" w:lastColumn="0" w:noHBand="0" w:noVBand="1"/>
        <w:tblCaption w:val="Investment pipeline by category "/>
        <w:tblDescription w:val="Aviation &#10;$23.1 billion&#10;22 projects&#10;Change from 2022–23:&#10;Up $4.2 billion&#10;Up 3 projects&#10;&#10;Arts, recreation, and business services &#10;$28.9 billion&#10;160 projects&#10;Change from 2022–23:&#10;Up $3.8 billion&#10;Up 31 projects &#10;&#10;Accommodation&#10;$11.4 billion&#10;164 projects&#10;23,700 rooms&#10;Change from 2022–23:&#10;Down $0.7 billion&#10;Up 5 projects&#10;Down 700 rooms&#10;"/>
      </w:tblPr>
      <w:tblGrid>
        <w:gridCol w:w="3319"/>
        <w:gridCol w:w="3319"/>
        <w:gridCol w:w="3320"/>
      </w:tblGrid>
      <w:tr w:rsidR="00771F07" w14:paraId="72EF50F5" w14:textId="77777777" w:rsidTr="004F7D97">
        <w:tc>
          <w:tcPr>
            <w:tcW w:w="1666" w:type="pct"/>
            <w:shd w:val="clear" w:color="auto" w:fill="2E1A47" w:themeFill="text2"/>
            <w:vAlign w:val="center"/>
          </w:tcPr>
          <w:p w14:paraId="34A3F6E4" w14:textId="3B856243" w:rsidR="00771F07" w:rsidRPr="00771F07" w:rsidRDefault="00771F07" w:rsidP="004F7D97">
            <w:pPr>
              <w:jc w:val="center"/>
              <w:rPr>
                <w:b/>
                <w:color w:val="FFFFFF" w:themeColor="background1"/>
              </w:rPr>
            </w:pPr>
            <w:r w:rsidRPr="00280DAF">
              <w:rPr>
                <w:b/>
                <w:color w:val="FFFFFF" w:themeColor="background1"/>
              </w:rPr>
              <w:t>Aviation</w:t>
            </w:r>
          </w:p>
        </w:tc>
        <w:tc>
          <w:tcPr>
            <w:tcW w:w="1666" w:type="pct"/>
            <w:shd w:val="clear" w:color="auto" w:fill="2E1A47" w:themeFill="text2"/>
            <w:vAlign w:val="center"/>
          </w:tcPr>
          <w:p w14:paraId="11435B41" w14:textId="07178201" w:rsidR="00771F07" w:rsidRPr="00771F07" w:rsidRDefault="00771F07" w:rsidP="004F7D97">
            <w:pPr>
              <w:jc w:val="center"/>
              <w:rPr>
                <w:b/>
                <w:color w:val="FFFFFF" w:themeColor="background1"/>
              </w:rPr>
            </w:pPr>
            <w:r w:rsidRPr="00280DAF">
              <w:rPr>
                <w:b/>
                <w:color w:val="FFFFFF" w:themeColor="background1"/>
              </w:rPr>
              <w:t>Arts, recreation, and business services</w:t>
            </w:r>
          </w:p>
        </w:tc>
        <w:tc>
          <w:tcPr>
            <w:tcW w:w="1667" w:type="pct"/>
            <w:shd w:val="clear" w:color="auto" w:fill="2E1A47" w:themeFill="text2"/>
            <w:vAlign w:val="center"/>
          </w:tcPr>
          <w:p w14:paraId="60107898" w14:textId="2BE315CA" w:rsidR="00771F07" w:rsidRPr="00771F07" w:rsidRDefault="00771F07" w:rsidP="004F7D97">
            <w:pPr>
              <w:jc w:val="center"/>
              <w:rPr>
                <w:b/>
                <w:color w:val="FFFFFF" w:themeColor="background1"/>
              </w:rPr>
            </w:pPr>
            <w:r w:rsidRPr="00280DAF">
              <w:rPr>
                <w:b/>
                <w:color w:val="FFFFFF" w:themeColor="background1"/>
              </w:rPr>
              <w:t>Accommodation</w:t>
            </w:r>
          </w:p>
        </w:tc>
      </w:tr>
      <w:tr w:rsidR="00771F07" w14:paraId="77A9B58B" w14:textId="77777777" w:rsidTr="004F7D97">
        <w:trPr>
          <w:trHeight w:val="926"/>
        </w:trPr>
        <w:tc>
          <w:tcPr>
            <w:tcW w:w="1666" w:type="pct"/>
            <w:vAlign w:val="center"/>
          </w:tcPr>
          <w:p w14:paraId="41C7AD6A" w14:textId="77777777" w:rsidR="00771F07" w:rsidRPr="00280DAF" w:rsidRDefault="00771F07" w:rsidP="00771F07">
            <w:pPr>
              <w:spacing w:line="276" w:lineRule="auto"/>
              <w:jc w:val="center"/>
              <w:rPr>
                <w:lang w:eastAsia="en-AU"/>
              </w:rPr>
            </w:pPr>
            <w:r w:rsidRPr="00280DAF">
              <w:rPr>
                <w:lang w:eastAsia="en-AU"/>
              </w:rPr>
              <w:t>$23.1 billion</w:t>
            </w:r>
          </w:p>
          <w:p w14:paraId="6201BCDD" w14:textId="24549CD7" w:rsidR="00771F07" w:rsidRDefault="00771F07" w:rsidP="00771F07">
            <w:pPr>
              <w:jc w:val="center"/>
            </w:pPr>
            <w:r w:rsidRPr="00280DAF">
              <w:rPr>
                <w:lang w:eastAsia="en-AU"/>
              </w:rPr>
              <w:t>22 projects</w:t>
            </w:r>
          </w:p>
        </w:tc>
        <w:tc>
          <w:tcPr>
            <w:tcW w:w="1666" w:type="pct"/>
            <w:vAlign w:val="center"/>
          </w:tcPr>
          <w:p w14:paraId="5D11BC12" w14:textId="77777777" w:rsidR="00771F07" w:rsidRPr="00280DAF" w:rsidRDefault="00771F07" w:rsidP="00771F07">
            <w:pPr>
              <w:spacing w:line="276" w:lineRule="auto"/>
              <w:jc w:val="center"/>
              <w:rPr>
                <w:rFonts w:asciiTheme="majorHAnsi" w:hAnsiTheme="majorHAnsi"/>
                <w:color w:val="000000"/>
              </w:rPr>
            </w:pPr>
            <w:r w:rsidRPr="00280DAF">
              <w:rPr>
                <w:rFonts w:asciiTheme="majorHAnsi" w:hAnsiTheme="majorHAnsi"/>
                <w:color w:val="000000"/>
              </w:rPr>
              <w:t>$28.9 billion</w:t>
            </w:r>
          </w:p>
          <w:p w14:paraId="77B75FD8" w14:textId="0C68E1D3" w:rsidR="00771F07" w:rsidRDefault="00771F07" w:rsidP="00771F07">
            <w:pPr>
              <w:jc w:val="center"/>
            </w:pPr>
            <w:r w:rsidRPr="00B01848">
              <w:rPr>
                <w:rFonts w:asciiTheme="majorHAnsi" w:hAnsiTheme="majorHAnsi"/>
                <w:color w:val="000000"/>
              </w:rPr>
              <w:t>16</w:t>
            </w:r>
            <w:r>
              <w:rPr>
                <w:rFonts w:asciiTheme="majorHAnsi" w:hAnsiTheme="majorHAnsi"/>
                <w:color w:val="000000"/>
              </w:rPr>
              <w:t>0</w:t>
            </w:r>
            <w:r w:rsidRPr="00280DAF">
              <w:rPr>
                <w:rFonts w:asciiTheme="majorHAnsi" w:hAnsiTheme="majorHAnsi"/>
                <w:color w:val="000000"/>
              </w:rPr>
              <w:t xml:space="preserve"> projects</w:t>
            </w:r>
          </w:p>
        </w:tc>
        <w:tc>
          <w:tcPr>
            <w:tcW w:w="1667" w:type="pct"/>
            <w:vAlign w:val="center"/>
          </w:tcPr>
          <w:p w14:paraId="2EAC029E" w14:textId="77777777" w:rsidR="00771F07" w:rsidRPr="00280DAF" w:rsidRDefault="00771F07" w:rsidP="00771F07">
            <w:pPr>
              <w:spacing w:line="276" w:lineRule="auto"/>
              <w:jc w:val="center"/>
              <w:rPr>
                <w:rFonts w:asciiTheme="majorHAnsi" w:hAnsiTheme="majorHAnsi"/>
                <w:color w:val="000000"/>
              </w:rPr>
            </w:pPr>
            <w:r w:rsidRPr="00280DAF">
              <w:rPr>
                <w:rFonts w:asciiTheme="majorHAnsi" w:hAnsiTheme="majorHAnsi"/>
                <w:color w:val="000000"/>
              </w:rPr>
              <w:t>$11.</w:t>
            </w:r>
            <w:r w:rsidRPr="00641B2E">
              <w:rPr>
                <w:rFonts w:asciiTheme="majorHAnsi" w:hAnsiTheme="majorHAnsi"/>
                <w:color w:val="000000"/>
              </w:rPr>
              <w:t>4</w:t>
            </w:r>
            <w:r w:rsidRPr="00280DAF">
              <w:rPr>
                <w:rFonts w:asciiTheme="majorHAnsi" w:hAnsiTheme="majorHAnsi"/>
                <w:color w:val="000000"/>
              </w:rPr>
              <w:t xml:space="preserve"> billion</w:t>
            </w:r>
          </w:p>
          <w:p w14:paraId="17ED2C43" w14:textId="77777777" w:rsidR="00771F07" w:rsidRDefault="00771F07" w:rsidP="00771F07">
            <w:pPr>
              <w:spacing w:line="276" w:lineRule="auto"/>
              <w:jc w:val="center"/>
              <w:rPr>
                <w:rFonts w:asciiTheme="majorHAnsi" w:hAnsiTheme="majorHAnsi"/>
                <w:color w:val="000000"/>
              </w:rPr>
            </w:pPr>
            <w:r w:rsidRPr="00641B2E">
              <w:rPr>
                <w:rFonts w:asciiTheme="majorHAnsi" w:hAnsiTheme="majorHAnsi"/>
                <w:color w:val="000000"/>
              </w:rPr>
              <w:t>164</w:t>
            </w:r>
            <w:r w:rsidRPr="00280DAF">
              <w:rPr>
                <w:rFonts w:asciiTheme="majorHAnsi" w:hAnsiTheme="majorHAnsi"/>
                <w:color w:val="000000"/>
              </w:rPr>
              <w:t xml:space="preserve"> projects</w:t>
            </w:r>
          </w:p>
          <w:p w14:paraId="50E4E172" w14:textId="00C7B70C" w:rsidR="00771F07" w:rsidRDefault="00771F07" w:rsidP="00771F07">
            <w:pPr>
              <w:jc w:val="center"/>
            </w:pPr>
            <w:r>
              <w:rPr>
                <w:rFonts w:asciiTheme="majorHAnsi" w:hAnsiTheme="majorHAnsi"/>
                <w:color w:val="000000"/>
                <w:lang w:eastAsia="en-AU"/>
              </w:rPr>
              <w:t>23,700 rooms</w:t>
            </w:r>
          </w:p>
        </w:tc>
      </w:tr>
      <w:tr w:rsidR="00771F07" w14:paraId="693D3C4C" w14:textId="77777777" w:rsidTr="004F7D97">
        <w:trPr>
          <w:trHeight w:val="1086"/>
        </w:trPr>
        <w:tc>
          <w:tcPr>
            <w:tcW w:w="1666" w:type="pct"/>
            <w:vAlign w:val="center"/>
          </w:tcPr>
          <w:p w14:paraId="08C5FD63" w14:textId="77777777" w:rsidR="00771F07" w:rsidRPr="00280DAF" w:rsidRDefault="00771F07" w:rsidP="00771F07">
            <w:pPr>
              <w:spacing w:line="276" w:lineRule="auto"/>
              <w:jc w:val="center"/>
            </w:pPr>
            <w:r w:rsidRPr="00280DAF">
              <w:t>Change from 2022</w:t>
            </w:r>
            <w:r>
              <w:t>–</w:t>
            </w:r>
            <w:r w:rsidRPr="00280DAF">
              <w:t>23:</w:t>
            </w:r>
          </w:p>
          <w:p w14:paraId="2E967105" w14:textId="77777777" w:rsidR="00771F07" w:rsidRPr="00280DAF" w:rsidRDefault="00771F07" w:rsidP="00771F07">
            <w:pPr>
              <w:spacing w:line="276" w:lineRule="auto"/>
              <w:jc w:val="center"/>
              <w:rPr>
                <w:lang w:eastAsia="en-AU"/>
              </w:rPr>
            </w:pPr>
            <w:r w:rsidRPr="00280DAF">
              <w:t>Up $4.</w:t>
            </w:r>
            <w:r>
              <w:t>2</w:t>
            </w:r>
            <w:r w:rsidRPr="00280DAF">
              <w:t xml:space="preserve"> billion</w:t>
            </w:r>
          </w:p>
          <w:p w14:paraId="44A67B40" w14:textId="5C7A98AE" w:rsidR="00771F07" w:rsidRDefault="00771F07" w:rsidP="00771F07">
            <w:pPr>
              <w:jc w:val="center"/>
            </w:pPr>
            <w:r w:rsidRPr="00280DAF">
              <w:rPr>
                <w:lang w:eastAsia="en-AU"/>
              </w:rPr>
              <w:t>Up 3 projects</w:t>
            </w:r>
          </w:p>
        </w:tc>
        <w:tc>
          <w:tcPr>
            <w:tcW w:w="1666" w:type="pct"/>
            <w:vAlign w:val="center"/>
          </w:tcPr>
          <w:p w14:paraId="664034D2" w14:textId="77777777" w:rsidR="00771F07" w:rsidRPr="00280DAF" w:rsidRDefault="00771F07" w:rsidP="00771F07">
            <w:pPr>
              <w:spacing w:line="276" w:lineRule="auto"/>
              <w:jc w:val="center"/>
              <w:rPr>
                <w:rFonts w:asciiTheme="majorHAnsi" w:hAnsiTheme="majorHAnsi"/>
                <w:color w:val="000000"/>
              </w:rPr>
            </w:pPr>
            <w:r w:rsidRPr="00280DAF">
              <w:rPr>
                <w:rFonts w:asciiTheme="majorHAnsi" w:hAnsiTheme="majorHAnsi"/>
                <w:color w:val="000000"/>
              </w:rPr>
              <w:t>Change from 2022</w:t>
            </w:r>
            <w:r>
              <w:rPr>
                <w:rFonts w:asciiTheme="majorHAnsi" w:hAnsiTheme="majorHAnsi"/>
                <w:color w:val="000000"/>
              </w:rPr>
              <w:t>–</w:t>
            </w:r>
            <w:r w:rsidRPr="00280DAF">
              <w:rPr>
                <w:rFonts w:asciiTheme="majorHAnsi" w:hAnsiTheme="majorHAnsi"/>
                <w:color w:val="000000"/>
              </w:rPr>
              <w:t>23:</w:t>
            </w:r>
          </w:p>
          <w:p w14:paraId="48374A22" w14:textId="77777777" w:rsidR="00771F07" w:rsidRPr="00280DAF" w:rsidRDefault="00771F07" w:rsidP="00771F07">
            <w:pPr>
              <w:spacing w:line="276" w:lineRule="auto"/>
              <w:jc w:val="center"/>
              <w:rPr>
                <w:rFonts w:asciiTheme="majorHAnsi" w:hAnsiTheme="majorHAnsi"/>
                <w:color w:val="000000"/>
              </w:rPr>
            </w:pPr>
            <w:r w:rsidRPr="00280DAF">
              <w:rPr>
                <w:rFonts w:asciiTheme="majorHAnsi" w:hAnsiTheme="majorHAnsi"/>
                <w:color w:val="000000"/>
              </w:rPr>
              <w:t>Up $3.8 billion</w:t>
            </w:r>
          </w:p>
          <w:p w14:paraId="41D31380" w14:textId="0C23DF22" w:rsidR="00771F07" w:rsidRDefault="00771F07" w:rsidP="00771F07">
            <w:pPr>
              <w:jc w:val="center"/>
            </w:pPr>
            <w:r w:rsidRPr="00280DAF">
              <w:rPr>
                <w:rFonts w:asciiTheme="majorHAnsi" w:hAnsiTheme="majorHAnsi"/>
                <w:color w:val="000000"/>
              </w:rPr>
              <w:t xml:space="preserve">Up </w:t>
            </w:r>
            <w:r w:rsidRPr="00B01848">
              <w:rPr>
                <w:rFonts w:asciiTheme="majorHAnsi" w:hAnsiTheme="majorHAnsi"/>
                <w:color w:val="000000"/>
              </w:rPr>
              <w:t>31</w:t>
            </w:r>
            <w:r w:rsidRPr="00280DAF">
              <w:rPr>
                <w:rFonts w:asciiTheme="majorHAnsi" w:hAnsiTheme="majorHAnsi"/>
                <w:color w:val="000000"/>
              </w:rPr>
              <w:t xml:space="preserve"> projects</w:t>
            </w:r>
          </w:p>
        </w:tc>
        <w:tc>
          <w:tcPr>
            <w:tcW w:w="1667" w:type="pct"/>
            <w:vAlign w:val="center"/>
          </w:tcPr>
          <w:p w14:paraId="5733DA97" w14:textId="77777777" w:rsidR="00771F07" w:rsidRPr="00280DAF" w:rsidRDefault="00771F07" w:rsidP="00771F07">
            <w:pPr>
              <w:spacing w:line="276" w:lineRule="auto"/>
              <w:jc w:val="center"/>
              <w:rPr>
                <w:rFonts w:asciiTheme="majorHAnsi" w:hAnsiTheme="majorHAnsi"/>
                <w:color w:val="000000"/>
              </w:rPr>
            </w:pPr>
            <w:r w:rsidRPr="00280DAF">
              <w:rPr>
                <w:rFonts w:asciiTheme="majorHAnsi" w:hAnsiTheme="majorHAnsi"/>
                <w:color w:val="000000"/>
              </w:rPr>
              <w:t>Change from 2022</w:t>
            </w:r>
            <w:r>
              <w:rPr>
                <w:rFonts w:asciiTheme="majorHAnsi" w:hAnsiTheme="majorHAnsi"/>
                <w:color w:val="000000"/>
              </w:rPr>
              <w:t>–</w:t>
            </w:r>
            <w:r w:rsidRPr="00280DAF">
              <w:rPr>
                <w:rFonts w:asciiTheme="majorHAnsi" w:hAnsiTheme="majorHAnsi"/>
                <w:color w:val="000000"/>
              </w:rPr>
              <w:t>23:</w:t>
            </w:r>
          </w:p>
          <w:p w14:paraId="7B55B861" w14:textId="77777777" w:rsidR="00771F07" w:rsidRPr="00280DAF" w:rsidRDefault="00771F07" w:rsidP="00771F07">
            <w:pPr>
              <w:spacing w:line="276" w:lineRule="auto"/>
              <w:jc w:val="center"/>
              <w:rPr>
                <w:rFonts w:asciiTheme="majorHAnsi" w:hAnsiTheme="majorHAnsi"/>
                <w:color w:val="000000"/>
              </w:rPr>
            </w:pPr>
            <w:r w:rsidRPr="00280DAF">
              <w:rPr>
                <w:rFonts w:asciiTheme="majorHAnsi" w:hAnsiTheme="majorHAnsi"/>
                <w:color w:val="000000"/>
              </w:rPr>
              <w:t>Down $0.</w:t>
            </w:r>
            <w:r>
              <w:rPr>
                <w:rFonts w:asciiTheme="majorHAnsi" w:hAnsiTheme="majorHAnsi"/>
                <w:color w:val="000000"/>
              </w:rPr>
              <w:t>7</w:t>
            </w:r>
            <w:r w:rsidRPr="00280DAF">
              <w:rPr>
                <w:rFonts w:asciiTheme="majorHAnsi" w:hAnsiTheme="majorHAnsi"/>
                <w:color w:val="000000"/>
              </w:rPr>
              <w:t xml:space="preserve"> billion</w:t>
            </w:r>
          </w:p>
          <w:p w14:paraId="228F662A" w14:textId="77777777" w:rsidR="00771F07" w:rsidRDefault="00771F07" w:rsidP="00771F07">
            <w:pPr>
              <w:spacing w:line="276" w:lineRule="auto"/>
              <w:jc w:val="center"/>
              <w:rPr>
                <w:rFonts w:asciiTheme="majorHAnsi" w:hAnsiTheme="majorHAnsi"/>
                <w:color w:val="000000"/>
              </w:rPr>
            </w:pPr>
            <w:r w:rsidRPr="00280DAF">
              <w:rPr>
                <w:rFonts w:asciiTheme="majorHAnsi" w:hAnsiTheme="majorHAnsi"/>
                <w:color w:val="000000"/>
              </w:rPr>
              <w:t xml:space="preserve">Up </w:t>
            </w:r>
            <w:r w:rsidRPr="00641B2E">
              <w:rPr>
                <w:rFonts w:asciiTheme="majorHAnsi" w:hAnsiTheme="majorHAnsi"/>
                <w:color w:val="000000"/>
              </w:rPr>
              <w:t>5</w:t>
            </w:r>
            <w:r w:rsidRPr="00280DAF">
              <w:rPr>
                <w:rFonts w:asciiTheme="majorHAnsi" w:hAnsiTheme="majorHAnsi"/>
                <w:color w:val="000000"/>
              </w:rPr>
              <w:t xml:space="preserve"> projects</w:t>
            </w:r>
          </w:p>
          <w:p w14:paraId="599FF9C1" w14:textId="724F15B9" w:rsidR="00771F07" w:rsidRDefault="00771F07" w:rsidP="00771F07">
            <w:pPr>
              <w:jc w:val="center"/>
            </w:pPr>
            <w:r>
              <w:rPr>
                <w:rFonts w:asciiTheme="majorHAnsi" w:hAnsiTheme="majorHAnsi"/>
                <w:color w:val="000000"/>
              </w:rPr>
              <w:t>Down 700 rooms</w:t>
            </w:r>
          </w:p>
        </w:tc>
      </w:tr>
    </w:tbl>
    <w:p w14:paraId="4A394068" w14:textId="77777777" w:rsidR="001D473C" w:rsidRDefault="001D473C" w:rsidP="004953C6">
      <w:pPr>
        <w:spacing w:before="240" w:after="160" w:line="259" w:lineRule="auto"/>
        <w:jc w:val="center"/>
        <w:rPr>
          <w:i/>
          <w:iCs/>
          <w:sz w:val="18"/>
          <w:szCs w:val="18"/>
        </w:rPr>
      </w:pPr>
      <w:r>
        <w:rPr>
          <w:noProof/>
        </w:rPr>
        <w:drawing>
          <wp:inline distT="0" distB="0" distL="0" distR="0" wp14:anchorId="44ECFE01" wp14:editId="33624997">
            <wp:extent cx="3362325" cy="3024854"/>
            <wp:effectExtent l="0" t="0" r="0" b="4445"/>
            <wp:docPr id="1235638205" name="Picture 1" descr="Tourism investment pipeline by state investment. &#10;&#10;WA - $7.7b&#10;NT - $2.8b&#10;SA - $3.4b&#10;QLD - $12.4b&#10;NSW - $16.3b&#10;ACT - $1.5b&#10;VIC - $16.0b&#10;TAS - $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38205" name="Picture 1" descr="Tourism investment pipeline by state investment. &#10;&#10;WA - $7.7b&#10;NT - $2.8b&#10;SA - $3.4b&#10;QLD - $12.4b&#10;NSW - $16.3b&#10;ACT - $1.5b&#10;VIC - $16.0b&#10;TAS - $3.3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8843" cy="3048711"/>
                    </a:xfrm>
                    <a:prstGeom prst="rect">
                      <a:avLst/>
                    </a:prstGeom>
                    <a:noFill/>
                  </pic:spPr>
                </pic:pic>
              </a:graphicData>
            </a:graphic>
          </wp:inline>
        </w:drawing>
      </w:r>
    </w:p>
    <w:p w14:paraId="10455B59" w14:textId="1E661DFF" w:rsidR="003E698F" w:rsidRDefault="0066542A" w:rsidP="005322C3">
      <w:pPr>
        <w:spacing w:after="160" w:line="259" w:lineRule="auto"/>
        <w:rPr>
          <w:i/>
          <w:iCs/>
          <w:sz w:val="18"/>
          <w:szCs w:val="18"/>
        </w:rPr>
      </w:pPr>
      <w:r w:rsidRPr="00DD1088">
        <w:rPr>
          <w:i/>
          <w:iCs/>
          <w:sz w:val="18"/>
          <w:szCs w:val="18"/>
        </w:rPr>
        <w:t>*These numbers do not include mixed</w:t>
      </w:r>
      <w:r w:rsidR="0039522C">
        <w:rPr>
          <w:i/>
          <w:iCs/>
          <w:sz w:val="18"/>
          <w:szCs w:val="18"/>
        </w:rPr>
        <w:t>–</w:t>
      </w:r>
      <w:r w:rsidRPr="00DD1088">
        <w:rPr>
          <w:i/>
          <w:iCs/>
          <w:sz w:val="18"/>
          <w:szCs w:val="18"/>
        </w:rPr>
        <w:t>use investments.</w:t>
      </w:r>
      <w:r>
        <w:rPr>
          <w:i/>
          <w:iCs/>
          <w:sz w:val="18"/>
          <w:szCs w:val="18"/>
        </w:rPr>
        <w:t xml:space="preserve"> </w:t>
      </w:r>
      <w:r w:rsidRPr="00DD1088">
        <w:rPr>
          <w:i/>
          <w:iCs/>
          <w:sz w:val="18"/>
          <w:szCs w:val="18"/>
        </w:rPr>
        <w:t>Numbers may not sum due to rounding.</w:t>
      </w:r>
      <w:r w:rsidR="001D473C" w:rsidRPr="00DD1088" w:rsidDel="001D473C">
        <w:rPr>
          <w:i/>
          <w:iCs/>
          <w:sz w:val="18"/>
          <w:szCs w:val="18"/>
        </w:rPr>
        <w:t xml:space="preserve"> </w:t>
      </w:r>
    </w:p>
    <w:tbl>
      <w:tblPr>
        <w:tblStyle w:val="TableGrid"/>
        <w:tblW w:w="0" w:type="auto"/>
        <w:tblLayout w:type="fixed"/>
        <w:tblLook w:val="04A0" w:firstRow="1" w:lastRow="0" w:firstColumn="1" w:lastColumn="0" w:noHBand="0" w:noVBand="1"/>
        <w:tblCaption w:val="Mixed Use investment pipeline 2023–24*"/>
        <w:tblDescription w:val="&#10;$85.3 billion&#10;191 projects&#10;30,200&#10;Change from 2022–23: &#10;Up $12.3 billion &#10;Up 17 projects &#10;Up 2,000 rooms&#10;"/>
      </w:tblPr>
      <w:tblGrid>
        <w:gridCol w:w="9776"/>
      </w:tblGrid>
      <w:tr w:rsidR="00E4473B" w:rsidRPr="00CD1584" w14:paraId="0A7DAD8B" w14:textId="77777777" w:rsidTr="00304C9B">
        <w:trPr>
          <w:trHeight w:val="650"/>
        </w:trPr>
        <w:tc>
          <w:tcPr>
            <w:tcW w:w="9776" w:type="dxa"/>
            <w:shd w:val="clear" w:color="auto" w:fill="2E1A47" w:themeFill="text2"/>
            <w:vAlign w:val="center"/>
          </w:tcPr>
          <w:p w14:paraId="0B20F5AD" w14:textId="77777777" w:rsidR="00E4473B" w:rsidRPr="00CD1584" w:rsidRDefault="00E4473B" w:rsidP="00304C9B">
            <w:pPr>
              <w:jc w:val="center"/>
              <w:rPr>
                <w:b/>
                <w:color w:val="FFFFFF" w:themeColor="background1"/>
                <w:highlight w:val="yellow"/>
              </w:rPr>
            </w:pPr>
            <w:r>
              <w:rPr>
                <w:b/>
                <w:color w:val="FFFFFF" w:themeColor="background1"/>
              </w:rPr>
              <w:t xml:space="preserve">Mixed Use investment pipeline </w:t>
            </w:r>
            <w:r w:rsidRPr="00DD1088">
              <w:rPr>
                <w:b/>
                <w:color w:val="FFFFFF" w:themeColor="background1"/>
              </w:rPr>
              <w:t>2023</w:t>
            </w:r>
            <w:r>
              <w:rPr>
                <w:b/>
                <w:color w:val="FFFFFF" w:themeColor="background1"/>
              </w:rPr>
              <w:t>–</w:t>
            </w:r>
            <w:r w:rsidRPr="00DD1088">
              <w:rPr>
                <w:b/>
                <w:color w:val="FFFFFF" w:themeColor="background1"/>
              </w:rPr>
              <w:t>24*</w:t>
            </w:r>
          </w:p>
        </w:tc>
      </w:tr>
      <w:tr w:rsidR="00E4473B" w:rsidRPr="00280DAF" w14:paraId="4B58A0BB" w14:textId="77777777" w:rsidTr="00304C9B">
        <w:trPr>
          <w:trHeight w:val="531"/>
        </w:trPr>
        <w:tc>
          <w:tcPr>
            <w:tcW w:w="9776" w:type="dxa"/>
          </w:tcPr>
          <w:p w14:paraId="12775540" w14:textId="77777777" w:rsidR="00E4473B" w:rsidRPr="0069020E" w:rsidRDefault="00E4473B" w:rsidP="00304C9B">
            <w:pPr>
              <w:spacing w:line="276" w:lineRule="auto"/>
              <w:jc w:val="center"/>
              <w:rPr>
                <w:rFonts w:asciiTheme="majorHAnsi" w:hAnsiTheme="majorHAnsi"/>
                <w:color w:val="000000"/>
              </w:rPr>
            </w:pPr>
            <w:r w:rsidRPr="0069020E">
              <w:rPr>
                <w:rFonts w:asciiTheme="majorHAnsi" w:hAnsiTheme="majorHAnsi"/>
                <w:color w:val="000000"/>
              </w:rPr>
              <w:t>$85.3 billion</w:t>
            </w:r>
          </w:p>
          <w:p w14:paraId="070E265F" w14:textId="77777777" w:rsidR="00E4473B" w:rsidRPr="0069020E" w:rsidRDefault="00E4473B" w:rsidP="00304C9B">
            <w:pPr>
              <w:spacing w:line="276" w:lineRule="auto"/>
              <w:jc w:val="center"/>
              <w:rPr>
                <w:rFonts w:asciiTheme="majorHAnsi" w:hAnsiTheme="majorHAnsi"/>
                <w:color w:val="000000"/>
              </w:rPr>
            </w:pPr>
            <w:r w:rsidRPr="0069020E">
              <w:rPr>
                <w:rFonts w:asciiTheme="majorHAnsi" w:hAnsiTheme="majorHAnsi"/>
                <w:color w:val="000000"/>
              </w:rPr>
              <w:t>191 projects</w:t>
            </w:r>
          </w:p>
          <w:p w14:paraId="44E2C97D" w14:textId="77777777" w:rsidR="00E4473B" w:rsidRPr="0069020E" w:rsidRDefault="00E4473B" w:rsidP="00304C9B">
            <w:pPr>
              <w:spacing w:line="276" w:lineRule="auto"/>
              <w:jc w:val="center"/>
              <w:rPr>
                <w:rFonts w:asciiTheme="majorHAnsi" w:hAnsiTheme="majorHAnsi"/>
                <w:color w:val="000000"/>
              </w:rPr>
            </w:pPr>
            <w:r w:rsidRPr="0069020E">
              <w:rPr>
                <w:rFonts w:asciiTheme="majorHAnsi" w:hAnsiTheme="majorHAnsi"/>
                <w:color w:val="000000"/>
              </w:rPr>
              <w:t>30,200</w:t>
            </w:r>
          </w:p>
        </w:tc>
      </w:tr>
      <w:tr w:rsidR="00E4473B" w:rsidRPr="00280DAF" w14:paraId="3A66FD71" w14:textId="77777777" w:rsidTr="00304C9B">
        <w:trPr>
          <w:trHeight w:val="531"/>
        </w:trPr>
        <w:tc>
          <w:tcPr>
            <w:tcW w:w="9776" w:type="dxa"/>
          </w:tcPr>
          <w:p w14:paraId="221AFFB3" w14:textId="77777777" w:rsidR="00E4473B" w:rsidRPr="0069020E" w:rsidRDefault="00E4473B" w:rsidP="00304C9B">
            <w:pPr>
              <w:spacing w:line="276" w:lineRule="auto"/>
              <w:jc w:val="center"/>
              <w:rPr>
                <w:rFonts w:asciiTheme="majorHAnsi" w:hAnsiTheme="majorHAnsi"/>
                <w:color w:val="000000"/>
              </w:rPr>
            </w:pPr>
            <w:r w:rsidRPr="0069020E">
              <w:rPr>
                <w:rFonts w:asciiTheme="majorHAnsi" w:hAnsiTheme="majorHAnsi"/>
                <w:color w:val="000000"/>
              </w:rPr>
              <w:t>Change from 2022</w:t>
            </w:r>
            <w:r>
              <w:rPr>
                <w:rFonts w:asciiTheme="majorHAnsi" w:hAnsiTheme="majorHAnsi"/>
                <w:color w:val="000000"/>
              </w:rPr>
              <w:t>–</w:t>
            </w:r>
            <w:r w:rsidRPr="0069020E">
              <w:rPr>
                <w:rFonts w:asciiTheme="majorHAnsi" w:hAnsiTheme="majorHAnsi"/>
                <w:color w:val="000000"/>
              </w:rPr>
              <w:t xml:space="preserve">23: </w:t>
            </w:r>
          </w:p>
          <w:p w14:paraId="00D040BC" w14:textId="77777777" w:rsidR="00E4473B" w:rsidRPr="0069020E" w:rsidRDefault="00E4473B" w:rsidP="00304C9B">
            <w:pPr>
              <w:spacing w:line="276" w:lineRule="auto"/>
              <w:jc w:val="center"/>
              <w:rPr>
                <w:rFonts w:asciiTheme="majorHAnsi" w:hAnsiTheme="majorHAnsi"/>
                <w:color w:val="000000"/>
              </w:rPr>
            </w:pPr>
            <w:r w:rsidRPr="0069020E">
              <w:rPr>
                <w:rFonts w:asciiTheme="majorHAnsi" w:hAnsiTheme="majorHAnsi"/>
                <w:color w:val="000000"/>
              </w:rPr>
              <w:t xml:space="preserve">Up $12.3 billion </w:t>
            </w:r>
          </w:p>
          <w:p w14:paraId="50502372" w14:textId="77777777" w:rsidR="00E4473B" w:rsidRPr="0069020E" w:rsidRDefault="00E4473B" w:rsidP="00304C9B">
            <w:pPr>
              <w:spacing w:line="276" w:lineRule="auto"/>
              <w:jc w:val="center"/>
              <w:rPr>
                <w:rFonts w:asciiTheme="majorHAnsi" w:hAnsiTheme="majorHAnsi"/>
                <w:color w:val="000000"/>
              </w:rPr>
            </w:pPr>
            <w:r w:rsidRPr="0069020E">
              <w:rPr>
                <w:rFonts w:asciiTheme="majorHAnsi" w:hAnsiTheme="majorHAnsi"/>
                <w:color w:val="000000"/>
              </w:rPr>
              <w:t xml:space="preserve">Up 17 projects </w:t>
            </w:r>
          </w:p>
          <w:p w14:paraId="2D6C9A44" w14:textId="77777777" w:rsidR="00E4473B" w:rsidRPr="0069020E" w:rsidRDefault="00E4473B" w:rsidP="00304C9B">
            <w:pPr>
              <w:spacing w:line="276" w:lineRule="auto"/>
              <w:jc w:val="center"/>
              <w:rPr>
                <w:rFonts w:asciiTheme="majorHAnsi" w:hAnsiTheme="majorHAnsi"/>
                <w:color w:val="000000"/>
              </w:rPr>
            </w:pPr>
            <w:r w:rsidRPr="0069020E">
              <w:rPr>
                <w:rFonts w:asciiTheme="majorHAnsi" w:hAnsiTheme="majorHAnsi"/>
                <w:color w:val="000000"/>
              </w:rPr>
              <w:t>Up 2,000 rooms</w:t>
            </w:r>
          </w:p>
        </w:tc>
      </w:tr>
    </w:tbl>
    <w:p w14:paraId="08E2284D" w14:textId="0899B0A3" w:rsidR="00E4473B" w:rsidRDefault="00E4473B" w:rsidP="004953C6">
      <w:pPr>
        <w:spacing w:before="240" w:after="160" w:line="259" w:lineRule="auto"/>
      </w:pPr>
      <w:r w:rsidRPr="00DD1088">
        <w:rPr>
          <w:i/>
          <w:iCs/>
          <w:sz w:val="18"/>
          <w:szCs w:val="18"/>
        </w:rPr>
        <w:t>*</w:t>
      </w:r>
      <w:r>
        <w:rPr>
          <w:i/>
          <w:iCs/>
          <w:sz w:val="18"/>
          <w:szCs w:val="18"/>
        </w:rPr>
        <w:t>Project value and/or room number information was not available for all projects</w:t>
      </w:r>
      <w:r w:rsidR="00B774C1">
        <w:rPr>
          <w:i/>
          <w:iCs/>
          <w:sz w:val="18"/>
          <w:szCs w:val="18"/>
        </w:rPr>
        <w:t>.</w:t>
      </w:r>
      <w:r>
        <w:rPr>
          <w:i/>
          <w:iCs/>
          <w:sz w:val="18"/>
          <w:szCs w:val="18"/>
        </w:rPr>
        <w:t xml:space="preserve"> </w:t>
      </w:r>
      <w:r w:rsidR="00B774C1">
        <w:rPr>
          <w:i/>
          <w:iCs/>
          <w:sz w:val="18"/>
          <w:szCs w:val="18"/>
        </w:rPr>
        <w:t>T</w:t>
      </w:r>
      <w:r>
        <w:rPr>
          <w:i/>
          <w:iCs/>
          <w:sz w:val="18"/>
          <w:szCs w:val="18"/>
        </w:rPr>
        <w:t xml:space="preserve">herefore totals </w:t>
      </w:r>
      <w:r w:rsidR="001965E5">
        <w:rPr>
          <w:i/>
          <w:iCs/>
          <w:sz w:val="18"/>
          <w:szCs w:val="18"/>
        </w:rPr>
        <w:t>may</w:t>
      </w:r>
      <w:r>
        <w:rPr>
          <w:i/>
          <w:iCs/>
          <w:sz w:val="18"/>
          <w:szCs w:val="18"/>
        </w:rPr>
        <w:t xml:space="preserve"> understate the total investment value.</w:t>
      </w:r>
    </w:p>
    <w:p w14:paraId="72A4284D" w14:textId="77777777" w:rsidR="00E4473B" w:rsidRDefault="00E4473B" w:rsidP="005322C3">
      <w:pPr>
        <w:spacing w:after="160" w:line="259" w:lineRule="auto"/>
      </w:pPr>
    </w:p>
    <w:p w14:paraId="519D52C4" w14:textId="32D6FCEE" w:rsidR="0037231F" w:rsidRPr="00B47264" w:rsidRDefault="00BB7478" w:rsidP="00EB790B">
      <w:pPr>
        <w:pStyle w:val="Heading2"/>
      </w:pPr>
      <w:bookmarkStart w:id="46" w:name="_Toc191539014"/>
      <w:r>
        <w:lastRenderedPageBreak/>
        <w:t>Executive s</w:t>
      </w:r>
      <w:r w:rsidR="0037231F" w:rsidRPr="00B47264">
        <w:t>ummary</w:t>
      </w:r>
      <w:bookmarkEnd w:id="46"/>
      <w:r w:rsidR="0037231F" w:rsidRPr="00B47264">
        <w:t xml:space="preserve"> </w:t>
      </w:r>
    </w:p>
    <w:p w14:paraId="1D57971C" w14:textId="7E977574" w:rsidR="009B61D1" w:rsidRPr="00280DAF" w:rsidRDefault="0037231F" w:rsidP="0037231F">
      <w:r w:rsidRPr="00280DAF">
        <w:t xml:space="preserve">The </w:t>
      </w:r>
      <w:r w:rsidR="007E3F7A" w:rsidRPr="00280DAF">
        <w:t>2023</w:t>
      </w:r>
      <w:r w:rsidR="0039522C">
        <w:t>–</w:t>
      </w:r>
      <w:r w:rsidR="007E3F7A" w:rsidRPr="00280DAF">
        <w:t>24</w:t>
      </w:r>
      <w:r w:rsidRPr="00280DAF">
        <w:t xml:space="preserve"> tourism investment pipeline consisted </w:t>
      </w:r>
      <w:r w:rsidRPr="00280DAF" w:rsidDel="000E3231">
        <w:t xml:space="preserve">of </w:t>
      </w:r>
      <w:r w:rsidR="00905CB7">
        <w:t>346</w:t>
      </w:r>
      <w:r w:rsidRPr="00280DAF">
        <w:t xml:space="preserve"> projects with a value of $</w:t>
      </w:r>
      <w:r w:rsidR="00754E7F" w:rsidRPr="00280DAF">
        <w:t>6</w:t>
      </w:r>
      <w:r w:rsidR="00BF7577" w:rsidRPr="00280DAF">
        <w:t>3</w:t>
      </w:r>
      <w:r w:rsidRPr="00280DAF">
        <w:t>.</w:t>
      </w:r>
      <w:r w:rsidR="0066542A">
        <w:t>4</w:t>
      </w:r>
      <w:r w:rsidRPr="00280DAF">
        <w:t xml:space="preserve"> billion. The value of the pipeline grew by </w:t>
      </w:r>
      <w:r w:rsidR="00F7019F" w:rsidRPr="007D4BF1">
        <w:t>$</w:t>
      </w:r>
      <w:r w:rsidR="00BF7577" w:rsidRPr="007D4BF1">
        <w:t>7.</w:t>
      </w:r>
      <w:r w:rsidR="00B96A41" w:rsidRPr="007D4BF1">
        <w:t>3</w:t>
      </w:r>
      <w:r w:rsidR="00F7019F" w:rsidRPr="007D4BF1">
        <w:t xml:space="preserve"> billion (</w:t>
      </w:r>
      <w:r w:rsidR="002E264E" w:rsidRPr="007D4BF1">
        <w:t>1</w:t>
      </w:r>
      <w:r w:rsidR="007D4BF1" w:rsidRPr="007D4BF1">
        <w:t>3</w:t>
      </w:r>
      <w:r w:rsidR="005E12DF" w:rsidRPr="007D4BF1">
        <w:t>%</w:t>
      </w:r>
      <w:r w:rsidR="00F7019F" w:rsidRPr="007D4BF1">
        <w:t>)</w:t>
      </w:r>
      <w:r w:rsidR="00F7019F" w:rsidRPr="00280DAF">
        <w:t xml:space="preserve"> </w:t>
      </w:r>
      <w:r w:rsidR="00D92577" w:rsidRPr="00280DAF">
        <w:t>in 2023</w:t>
      </w:r>
      <w:r w:rsidR="0039522C">
        <w:t>–</w:t>
      </w:r>
      <w:r w:rsidR="00D92577" w:rsidRPr="00280DAF">
        <w:t>24</w:t>
      </w:r>
      <w:r w:rsidR="00BF7577" w:rsidRPr="00280DAF">
        <w:t xml:space="preserve"> </w:t>
      </w:r>
      <w:r w:rsidRPr="00280DAF">
        <w:t>(Figure 1)</w:t>
      </w:r>
      <w:r w:rsidR="005E2B9C">
        <w:t>.</w:t>
      </w:r>
      <w:r w:rsidR="001861DE" w:rsidRPr="00280DAF" w:rsidDel="00F92099">
        <w:t xml:space="preserve"> </w:t>
      </w:r>
      <w:r w:rsidR="00F92099">
        <w:t>G</w:t>
      </w:r>
      <w:r w:rsidR="009B61D1" w:rsidRPr="00280DAF">
        <w:t xml:space="preserve">rowth in the pipeline </w:t>
      </w:r>
      <w:r w:rsidR="00717998" w:rsidRPr="00280DAF">
        <w:t xml:space="preserve">is </w:t>
      </w:r>
      <w:r w:rsidR="00C853CC" w:rsidRPr="00280DAF">
        <w:t xml:space="preserve">a sign of </w:t>
      </w:r>
      <w:r w:rsidR="00942ABB" w:rsidRPr="00280DAF">
        <w:t xml:space="preserve">optimism for the future of the visitor economy. </w:t>
      </w:r>
    </w:p>
    <w:p w14:paraId="6DD9E4C0" w14:textId="7B377F0D" w:rsidR="00BF628E" w:rsidRPr="00F70E8F" w:rsidRDefault="00EE0DC2" w:rsidP="0037231F">
      <w:r w:rsidRPr="00F70E8F">
        <w:t>In 2023</w:t>
      </w:r>
      <w:r w:rsidR="0039522C">
        <w:t>–</w:t>
      </w:r>
      <w:r w:rsidRPr="00F70E8F">
        <w:t>24</w:t>
      </w:r>
      <w:r w:rsidR="00955C36">
        <w:t xml:space="preserve"> there </w:t>
      </w:r>
      <w:r w:rsidR="00D5201A">
        <w:t>we</w:t>
      </w:r>
      <w:r w:rsidR="00955C36">
        <w:t>re</w:t>
      </w:r>
      <w:r w:rsidR="00BA5828" w:rsidRPr="00F70E8F">
        <w:t>:</w:t>
      </w:r>
    </w:p>
    <w:p w14:paraId="13EFC769" w14:textId="5B57A409" w:rsidR="00BA5828" w:rsidRPr="008071B2" w:rsidRDefault="002E264E" w:rsidP="00BA5828">
      <w:pPr>
        <w:pStyle w:val="BulletList"/>
      </w:pPr>
      <w:r w:rsidRPr="002E264E">
        <w:t>1</w:t>
      </w:r>
      <w:r w:rsidR="00615835" w:rsidRPr="00F70E8F">
        <w:t>0</w:t>
      </w:r>
      <w:r w:rsidR="004D225C">
        <w:t>8</w:t>
      </w:r>
      <w:r w:rsidR="00BA5828" w:rsidRPr="00F70E8F">
        <w:t xml:space="preserve"> new projects </w:t>
      </w:r>
      <w:r w:rsidR="00BA5828" w:rsidRPr="008071B2">
        <w:t>added to the pipeline</w:t>
      </w:r>
    </w:p>
    <w:p w14:paraId="706C80D1" w14:textId="01F7BBD3" w:rsidR="00BA5828" w:rsidRPr="008071B2" w:rsidRDefault="001A302A" w:rsidP="00BA5828">
      <w:pPr>
        <w:pStyle w:val="BulletList"/>
      </w:pPr>
      <w:r w:rsidRPr="008071B2">
        <w:t>4</w:t>
      </w:r>
      <w:r w:rsidR="00935A80">
        <w:t>2</w:t>
      </w:r>
      <w:r w:rsidR="00BA5828" w:rsidRPr="008071B2">
        <w:t xml:space="preserve"> projects </w:t>
      </w:r>
      <w:r w:rsidR="00772D35">
        <w:t xml:space="preserve">that </w:t>
      </w:r>
      <w:r w:rsidR="00BA5828" w:rsidRPr="008071B2">
        <w:t xml:space="preserve">progressed </w:t>
      </w:r>
      <w:r w:rsidR="005B58E6">
        <w:t>to a new</w:t>
      </w:r>
      <w:r w:rsidR="00BA5828" w:rsidRPr="008071B2">
        <w:t xml:space="preserve"> pipeline stage</w:t>
      </w:r>
    </w:p>
    <w:p w14:paraId="538582F2" w14:textId="7F33CD6F" w:rsidR="00BA5828" w:rsidRPr="008071B2" w:rsidRDefault="003457F8" w:rsidP="004429BC">
      <w:pPr>
        <w:pStyle w:val="BulletList"/>
      </w:pPr>
      <w:r>
        <w:t>3</w:t>
      </w:r>
      <w:r w:rsidR="00975E87">
        <w:t>3</w:t>
      </w:r>
      <w:r w:rsidRPr="008071B2">
        <w:t xml:space="preserve"> </w:t>
      </w:r>
      <w:r w:rsidR="00BA5828" w:rsidRPr="008071B2">
        <w:t>projects</w:t>
      </w:r>
      <w:r w:rsidR="003E0687" w:rsidRPr="008071B2">
        <w:t xml:space="preserve"> </w:t>
      </w:r>
      <w:r w:rsidR="009C6ADD" w:rsidRPr="008071B2">
        <w:t>were completed.</w:t>
      </w:r>
    </w:p>
    <w:p w14:paraId="4ADB2B67" w14:textId="1FBA989A" w:rsidR="00E862C0" w:rsidRPr="00280DAF" w:rsidRDefault="00E862C0" w:rsidP="00E862C0">
      <w:r w:rsidRPr="00280DAF">
        <w:t>In 2023</w:t>
      </w:r>
      <w:r w:rsidR="0039522C">
        <w:t>–</w:t>
      </w:r>
      <w:r w:rsidRPr="00280DAF">
        <w:t>24, the</w:t>
      </w:r>
      <w:r w:rsidR="00296676" w:rsidRPr="00280DAF">
        <w:t xml:space="preserve">re was </w:t>
      </w:r>
      <w:r w:rsidRPr="00280DAF">
        <w:t xml:space="preserve">significant growth in both the </w:t>
      </w:r>
      <w:r w:rsidRPr="00FF15A1">
        <w:rPr>
          <w:i/>
        </w:rPr>
        <w:t>aviation</w:t>
      </w:r>
      <w:r w:rsidRPr="00280DAF">
        <w:t xml:space="preserve"> and </w:t>
      </w:r>
      <w:r w:rsidR="00F50028">
        <w:t xml:space="preserve">the </w:t>
      </w:r>
      <w:r w:rsidRPr="00FF15A1">
        <w:rPr>
          <w:i/>
        </w:rPr>
        <w:t>arts, recreation, and business services</w:t>
      </w:r>
      <w:r w:rsidRPr="00280DAF">
        <w:t xml:space="preserve"> </w:t>
      </w:r>
      <w:r w:rsidR="00296676" w:rsidRPr="00280DAF">
        <w:t>pipelines</w:t>
      </w:r>
      <w:r w:rsidR="003B176A" w:rsidRPr="00280DAF">
        <w:t xml:space="preserve">, which </w:t>
      </w:r>
      <w:r w:rsidRPr="00280DAF">
        <w:t>increased by $4.</w:t>
      </w:r>
      <w:r w:rsidR="00CB46AC">
        <w:t>2</w:t>
      </w:r>
      <w:r w:rsidRPr="00280DAF">
        <w:t xml:space="preserve"> billion and $</w:t>
      </w:r>
      <w:r w:rsidR="00D627D1" w:rsidRPr="00280DAF">
        <w:t>3.8</w:t>
      </w:r>
      <w:r w:rsidRPr="00280DAF">
        <w:t xml:space="preserve"> billion respectively. </w:t>
      </w:r>
      <w:r w:rsidR="003B176A" w:rsidRPr="00280DAF">
        <w:t>The number of</w:t>
      </w:r>
      <w:r w:rsidRPr="00280DAF">
        <w:t xml:space="preserve"> projects in the accommodation </w:t>
      </w:r>
      <w:r w:rsidR="003B176A" w:rsidRPr="00280DAF">
        <w:t xml:space="preserve">pipeline </w:t>
      </w:r>
      <w:r w:rsidR="007C784A">
        <w:t xml:space="preserve">also </w:t>
      </w:r>
      <w:r w:rsidR="003B176A" w:rsidRPr="00280DAF">
        <w:t>increased</w:t>
      </w:r>
      <w:r w:rsidRPr="00280DAF">
        <w:t xml:space="preserve">, </w:t>
      </w:r>
      <w:r w:rsidR="003B176A" w:rsidRPr="00280DAF">
        <w:t>however</w:t>
      </w:r>
      <w:r w:rsidRPr="00280DAF">
        <w:t xml:space="preserve">, there was a slight decline </w:t>
      </w:r>
      <w:r w:rsidR="003B176A" w:rsidRPr="00280DAF">
        <w:t xml:space="preserve">in the value </w:t>
      </w:r>
      <w:r w:rsidRPr="00280DAF">
        <w:t xml:space="preserve">of </w:t>
      </w:r>
      <w:r w:rsidR="003B176A" w:rsidRPr="00280DAF">
        <w:t>th</w:t>
      </w:r>
      <w:r w:rsidR="0081165A" w:rsidRPr="00280DAF">
        <w:t>is pipeline</w:t>
      </w:r>
      <w:r w:rsidR="007C784A">
        <w:t xml:space="preserve">, </w:t>
      </w:r>
      <w:r w:rsidR="0081165A" w:rsidRPr="00280DAF">
        <w:t xml:space="preserve">down by </w:t>
      </w:r>
      <w:r w:rsidRPr="00280DAF">
        <w:t>$0.</w:t>
      </w:r>
      <w:r w:rsidR="00790E84">
        <w:t>7</w:t>
      </w:r>
      <w:r w:rsidR="0081165A" w:rsidRPr="00280DAF">
        <w:t> </w:t>
      </w:r>
      <w:r w:rsidRPr="00280DAF">
        <w:t xml:space="preserve">billion. </w:t>
      </w:r>
      <w:r w:rsidR="00991498">
        <w:t xml:space="preserve">This is attributed to </w:t>
      </w:r>
      <w:r w:rsidR="00991498" w:rsidRPr="00280DAF">
        <w:t>several</w:t>
      </w:r>
      <w:r w:rsidR="00B0342C" w:rsidRPr="00280DAF">
        <w:t xml:space="preserve"> high value projects </w:t>
      </w:r>
      <w:r w:rsidR="00493B98">
        <w:t xml:space="preserve">being </w:t>
      </w:r>
      <w:r w:rsidR="00B0342C" w:rsidRPr="00280DAF">
        <w:t xml:space="preserve">completed or deferred in 2024. </w:t>
      </w:r>
    </w:p>
    <w:p w14:paraId="49149495" w14:textId="002D0D09" w:rsidR="00125EBE" w:rsidRPr="00DD1088" w:rsidRDefault="00EB19C2" w:rsidP="0037231F">
      <w:r w:rsidRPr="00280DAF">
        <w:t>Investment into tourism suggests the industry is gearing for continue</w:t>
      </w:r>
      <w:r w:rsidR="008154EE" w:rsidRPr="00280DAF">
        <w:t>d</w:t>
      </w:r>
      <w:r w:rsidRPr="00280DAF">
        <w:t xml:space="preserve"> growth</w:t>
      </w:r>
      <w:r w:rsidR="00523D39">
        <w:t>, and</w:t>
      </w:r>
      <w:r w:rsidR="008A2E25" w:rsidRPr="00280DAF">
        <w:t xml:space="preserve"> </w:t>
      </w:r>
      <w:r w:rsidR="00763806">
        <w:t xml:space="preserve">TRA </w:t>
      </w:r>
      <w:r w:rsidR="00523D39">
        <w:t>f</w:t>
      </w:r>
      <w:r w:rsidR="008A2E25" w:rsidRPr="00280DAF">
        <w:t>orecast</w:t>
      </w:r>
      <w:r w:rsidR="00523D39">
        <w:t>s</w:t>
      </w:r>
      <w:r w:rsidR="008A2E25" w:rsidRPr="00280DAF">
        <w:t xml:space="preserve"> </w:t>
      </w:r>
      <w:r w:rsidR="00523D39">
        <w:t xml:space="preserve">for the Australian </w:t>
      </w:r>
      <w:r w:rsidR="008A2E25" w:rsidRPr="00280DAF">
        <w:t xml:space="preserve">visitor economy </w:t>
      </w:r>
      <w:r w:rsidR="007A1F3B">
        <w:t xml:space="preserve">note </w:t>
      </w:r>
      <w:r w:rsidR="00CE617E">
        <w:t xml:space="preserve">that </w:t>
      </w:r>
      <w:r w:rsidR="008A2E25" w:rsidRPr="00280DAF">
        <w:t>international and domestic travel will grow</w:t>
      </w:r>
      <w:r w:rsidR="007A1F3B">
        <w:t xml:space="preserve"> </w:t>
      </w:r>
      <w:r w:rsidR="007A1F3B" w:rsidRPr="00280DAF">
        <w:t>over the next 5 years</w:t>
      </w:r>
      <w:r w:rsidR="008A2E25" w:rsidRPr="00280DAF">
        <w:t xml:space="preserve">. International </w:t>
      </w:r>
      <w:r w:rsidR="00AA5E7F">
        <w:t xml:space="preserve">visitation </w:t>
      </w:r>
      <w:r w:rsidR="008A2E25" w:rsidRPr="00280DAF">
        <w:t>is set to exceed pre</w:t>
      </w:r>
      <w:r w:rsidR="0039522C">
        <w:t>–</w:t>
      </w:r>
      <w:r w:rsidR="008A2E25" w:rsidRPr="00280DAF">
        <w:t>pandemic level</w:t>
      </w:r>
      <w:r w:rsidR="00AA5E7F">
        <w:t>s</w:t>
      </w:r>
      <w:r w:rsidR="008A2E25" w:rsidRPr="00280DAF">
        <w:t xml:space="preserve"> in 2026, </w:t>
      </w:r>
      <w:r w:rsidR="007A1F3B">
        <w:t>and</w:t>
      </w:r>
      <w:r w:rsidR="008A2E25" w:rsidRPr="00280DAF">
        <w:t xml:space="preserve"> domestic</w:t>
      </w:r>
      <w:r w:rsidR="008A2E25" w:rsidRPr="00DD1088">
        <w:t xml:space="preserve"> travel </w:t>
      </w:r>
      <w:r w:rsidR="007A1F3B">
        <w:t xml:space="preserve">is </w:t>
      </w:r>
      <w:r w:rsidR="00155A8C">
        <w:t>expected</w:t>
      </w:r>
      <w:r w:rsidR="00155A8C" w:rsidRPr="00DD1088">
        <w:t xml:space="preserve"> </w:t>
      </w:r>
      <w:r w:rsidR="008A2E25" w:rsidRPr="00DD1088">
        <w:t xml:space="preserve">to gain momentum </w:t>
      </w:r>
      <w:r w:rsidR="007A1F3B">
        <w:t>in 2026</w:t>
      </w:r>
      <w:r w:rsidR="008A2E25" w:rsidRPr="00DD1088">
        <w:t xml:space="preserve">. </w:t>
      </w:r>
      <w:r w:rsidR="004D303B">
        <w:t>(</w:t>
      </w:r>
      <w:r w:rsidR="00E95272" w:rsidRPr="00DD1088">
        <w:t xml:space="preserve">More information on </w:t>
      </w:r>
      <w:r w:rsidR="00AA5E7F">
        <w:t xml:space="preserve">TRA’s </w:t>
      </w:r>
      <w:r w:rsidR="00E95272" w:rsidRPr="00DD1088">
        <w:t xml:space="preserve">tourism forecasts </w:t>
      </w:r>
      <w:r w:rsidR="00AA5E7F">
        <w:t xml:space="preserve">is available </w:t>
      </w:r>
      <w:hyperlink r:id="rId20" w:history="1">
        <w:r w:rsidR="00E95272" w:rsidRPr="00DD1088">
          <w:rPr>
            <w:rStyle w:val="Hyperlink"/>
          </w:rPr>
          <w:t>here</w:t>
        </w:r>
      </w:hyperlink>
      <w:r w:rsidR="00E95272" w:rsidRPr="00DD1088">
        <w:t>.</w:t>
      </w:r>
      <w:r w:rsidR="004D303B">
        <w:t>)</w:t>
      </w:r>
      <w:r w:rsidR="00E95272">
        <w:t xml:space="preserve"> Additionally, </w:t>
      </w:r>
      <w:r w:rsidR="00526BAE">
        <w:t xml:space="preserve">according to the ABS, </w:t>
      </w:r>
      <w:r w:rsidR="00132C63">
        <w:t xml:space="preserve">December 2024 saw </w:t>
      </w:r>
      <w:r w:rsidR="00D3765B">
        <w:t>the third</w:t>
      </w:r>
      <w:r w:rsidR="00132C63">
        <w:t xml:space="preserve"> consecutive month of household spending </w:t>
      </w:r>
      <w:r w:rsidR="00AE1F09">
        <w:t>increase</w:t>
      </w:r>
      <w:r w:rsidR="00F01BB0">
        <w:t xml:space="preserve"> and</w:t>
      </w:r>
      <w:r w:rsidR="00AE1F09">
        <w:t xml:space="preserve"> </w:t>
      </w:r>
      <w:r w:rsidR="00F01BB0">
        <w:t>a</w:t>
      </w:r>
      <w:r w:rsidR="00E061F3">
        <w:t xml:space="preserve">ir travel was a </w:t>
      </w:r>
      <w:r w:rsidR="00256516">
        <w:t>key driver in this growth</w:t>
      </w:r>
      <w:r w:rsidR="00F01BB0">
        <w:t>,</w:t>
      </w:r>
      <w:r w:rsidR="00256516">
        <w:t xml:space="preserve"> suggesting that despite the </w:t>
      </w:r>
      <w:r w:rsidR="00FD1089">
        <w:t>cost-of-living</w:t>
      </w:r>
      <w:r w:rsidR="00C06133">
        <w:t xml:space="preserve"> challenges</w:t>
      </w:r>
      <w:r w:rsidR="00256516">
        <w:t xml:space="preserve"> </w:t>
      </w:r>
      <w:r w:rsidR="00790E19">
        <w:t xml:space="preserve">for Australian households, </w:t>
      </w:r>
      <w:r w:rsidR="00484656">
        <w:t xml:space="preserve">there is still a </w:t>
      </w:r>
      <w:r w:rsidR="00C06133">
        <w:t xml:space="preserve">strong, underlying </w:t>
      </w:r>
      <w:r w:rsidR="00484656">
        <w:t xml:space="preserve">desire </w:t>
      </w:r>
      <w:r w:rsidR="00755AB2">
        <w:t xml:space="preserve">for travel </w:t>
      </w:r>
      <w:r w:rsidR="00AC5988">
        <w:t>and tourism</w:t>
      </w:r>
      <w:r w:rsidR="00E240AB">
        <w:t>.</w:t>
      </w:r>
      <w:r w:rsidR="00D31DF8">
        <w:rPr>
          <w:rStyle w:val="FootnoteReference"/>
        </w:rPr>
        <w:footnoteReference w:id="2"/>
      </w:r>
      <w:r w:rsidR="00AC5988">
        <w:t xml:space="preserve"> </w:t>
      </w:r>
    </w:p>
    <w:p w14:paraId="7E25400D" w14:textId="2A629776" w:rsidR="00342B9A" w:rsidRPr="00DD1088" w:rsidRDefault="006E04C8" w:rsidP="0037231F">
      <w:r w:rsidRPr="00DD1088">
        <w:t>Enhancing visitor infrastructure within</w:t>
      </w:r>
      <w:r w:rsidR="0061487D" w:rsidRPr="00DD1088">
        <w:t xml:space="preserve"> the tourism sector </w:t>
      </w:r>
      <w:r w:rsidR="00110A58" w:rsidRPr="00DD1088">
        <w:t xml:space="preserve">is </w:t>
      </w:r>
      <w:r w:rsidR="008F36A1" w:rsidRPr="00DD1088">
        <w:t xml:space="preserve">a key </w:t>
      </w:r>
      <w:r w:rsidRPr="00DD1088">
        <w:t>policy priority</w:t>
      </w:r>
      <w:r w:rsidR="008F36A1" w:rsidRPr="00DD1088">
        <w:t xml:space="preserve"> </w:t>
      </w:r>
      <w:r w:rsidR="00A566A8" w:rsidRPr="00DD1088">
        <w:t xml:space="preserve">of </w:t>
      </w:r>
      <w:r w:rsidR="00C73F41">
        <w:t>THRIVE</w:t>
      </w:r>
      <w:r w:rsidR="29CFCFE6">
        <w:t xml:space="preserve"> </w:t>
      </w:r>
      <w:r w:rsidR="307FE3AE">
        <w:t>20</w:t>
      </w:r>
      <w:r w:rsidR="00C73F41">
        <w:t>30</w:t>
      </w:r>
      <w:r w:rsidR="00C73F41" w:rsidRPr="00DD1088">
        <w:t xml:space="preserve"> </w:t>
      </w:r>
      <w:r w:rsidR="00E1746D" w:rsidRPr="00DD1088">
        <w:t xml:space="preserve">(see </w:t>
      </w:r>
      <w:r w:rsidR="00F01BB0">
        <w:t xml:space="preserve">the </w:t>
      </w:r>
      <w:hyperlink r:id="rId21" w:history="1">
        <w:r w:rsidR="7ACD3E69" w:rsidRPr="77A38970">
          <w:rPr>
            <w:rStyle w:val="Hyperlink"/>
          </w:rPr>
          <w:t>THRIVE 2030</w:t>
        </w:r>
        <w:r w:rsidRPr="05D05E1B" w:rsidDel="00E1746D">
          <w:rPr>
            <w:rStyle w:val="Hyperlink"/>
          </w:rPr>
          <w:t xml:space="preserve"> strategy here</w:t>
        </w:r>
      </w:hyperlink>
      <w:r w:rsidR="00E1746D">
        <w:t xml:space="preserve"> for further details).</w:t>
      </w:r>
      <w:r w:rsidR="00E1746D" w:rsidRPr="00DD1088">
        <w:t xml:space="preserve"> </w:t>
      </w:r>
      <w:r w:rsidR="003F7A5B" w:rsidRPr="00DD1088">
        <w:t>As we i</w:t>
      </w:r>
      <w:r w:rsidR="00650605" w:rsidRPr="00DD1088">
        <w:t>ncreas</w:t>
      </w:r>
      <w:r w:rsidR="003F7A5B" w:rsidRPr="00DD1088">
        <w:t>e</w:t>
      </w:r>
      <w:r w:rsidR="00650605" w:rsidRPr="00DD1088">
        <w:t xml:space="preserve"> the capacity of the sector, build infrastructure and </w:t>
      </w:r>
      <w:r w:rsidR="00A97640" w:rsidRPr="00DD1088">
        <w:t>undertak</w:t>
      </w:r>
      <w:r w:rsidR="003F7A5B" w:rsidRPr="00DD1088">
        <w:t>e</w:t>
      </w:r>
      <w:r w:rsidR="00A97640" w:rsidRPr="00DD1088">
        <w:t xml:space="preserve"> </w:t>
      </w:r>
      <w:r w:rsidR="009C4C13" w:rsidRPr="00DD1088">
        <w:t xml:space="preserve">upgrades, the sector is better prepared to meet the </w:t>
      </w:r>
      <w:r w:rsidR="004A40EE" w:rsidRPr="00DD1088">
        <w:t>demands</w:t>
      </w:r>
      <w:r w:rsidR="006444C3" w:rsidRPr="00DD1088">
        <w:t xml:space="preserve"> </w:t>
      </w:r>
      <w:r w:rsidR="003F7A5B" w:rsidRPr="00DD1088">
        <w:t xml:space="preserve">of the industry into the future. </w:t>
      </w:r>
    </w:p>
    <w:p w14:paraId="72075973" w14:textId="12542EC1" w:rsidR="0037231F" w:rsidRPr="00CD1584" w:rsidRDefault="0037231F" w:rsidP="00860587">
      <w:pPr>
        <w:rPr>
          <w:highlight w:val="yellow"/>
        </w:rPr>
      </w:pPr>
    </w:p>
    <w:p w14:paraId="3484F91C" w14:textId="3E101FF9" w:rsidR="00B95170" w:rsidRPr="00CD1584" w:rsidRDefault="00B95170">
      <w:pPr>
        <w:spacing w:after="160" w:line="259" w:lineRule="auto"/>
        <w:rPr>
          <w:highlight w:val="yellow"/>
        </w:rPr>
      </w:pPr>
      <w:r w:rsidRPr="00CD1584">
        <w:rPr>
          <w:highlight w:val="yellow"/>
        </w:rPr>
        <w:br w:type="page"/>
      </w:r>
    </w:p>
    <w:p w14:paraId="6EF04D12" w14:textId="3968AEF4" w:rsidR="0037231F" w:rsidRPr="00280DAF" w:rsidRDefault="00BB7478" w:rsidP="00EB790B">
      <w:pPr>
        <w:pStyle w:val="Heading2"/>
      </w:pPr>
      <w:bookmarkStart w:id="47" w:name="_Toc191539015"/>
      <w:r>
        <w:lastRenderedPageBreak/>
        <w:t>Sector i</w:t>
      </w:r>
      <w:r w:rsidR="0037231F" w:rsidRPr="00280DAF">
        <w:t>nvestment overview</w:t>
      </w:r>
      <w:bookmarkEnd w:id="47"/>
    </w:p>
    <w:p w14:paraId="74CBBF08" w14:textId="295A965F" w:rsidR="0037231F" w:rsidRPr="00280DAF" w:rsidRDefault="001E6801" w:rsidP="0037231F">
      <w:r w:rsidRPr="00280DAF">
        <w:t xml:space="preserve">Growth </w:t>
      </w:r>
      <w:r w:rsidR="001C0D0D" w:rsidRPr="00280DAF">
        <w:t>in the tourism investment pipeline in 2023</w:t>
      </w:r>
      <w:r w:rsidR="0039522C">
        <w:t>–</w:t>
      </w:r>
      <w:r w:rsidR="001C0D0D" w:rsidRPr="00280DAF">
        <w:t>24</w:t>
      </w:r>
      <w:r w:rsidRPr="00280DAF">
        <w:t xml:space="preserve"> was </w:t>
      </w:r>
      <w:r w:rsidR="003A77FB" w:rsidRPr="00280DAF">
        <w:t xml:space="preserve">driven by </w:t>
      </w:r>
      <w:r w:rsidR="00C009FE" w:rsidRPr="00280DAF">
        <w:t xml:space="preserve">significant increases </w:t>
      </w:r>
      <w:r w:rsidRPr="00280DAF">
        <w:t xml:space="preserve">in </w:t>
      </w:r>
      <w:r w:rsidR="000776E8" w:rsidRPr="00280DAF">
        <w:t xml:space="preserve">2 </w:t>
      </w:r>
      <w:r w:rsidR="00A65B63">
        <w:t>sectors</w:t>
      </w:r>
      <w:r w:rsidR="000776E8" w:rsidRPr="00280DAF">
        <w:t xml:space="preserve">: </w:t>
      </w:r>
    </w:p>
    <w:p w14:paraId="562FBE30" w14:textId="77777777" w:rsidR="00C52A42" w:rsidRPr="00280DAF" w:rsidRDefault="00C52A42" w:rsidP="00C52A42">
      <w:pPr>
        <w:pStyle w:val="BulletList"/>
      </w:pPr>
      <w:r w:rsidRPr="00280DAF">
        <w:t xml:space="preserve">The aviation pipeline had 22 projects valued at $23.1 billion, an increase of 3 projects </w:t>
      </w:r>
      <w:r>
        <w:t>and an increase in total value of</w:t>
      </w:r>
      <w:r w:rsidRPr="00280DAF">
        <w:t xml:space="preserve"> $4.</w:t>
      </w:r>
      <w:r>
        <w:t>2</w:t>
      </w:r>
      <w:r w:rsidRPr="00280DAF">
        <w:t xml:space="preserve"> billion. </w:t>
      </w:r>
    </w:p>
    <w:p w14:paraId="105F5C71" w14:textId="7E748B70" w:rsidR="005A672B" w:rsidRPr="00280DAF" w:rsidRDefault="005A672B" w:rsidP="00A03FFB">
      <w:pPr>
        <w:pStyle w:val="BulletList"/>
      </w:pPr>
      <w:r w:rsidRPr="00280DAF">
        <w:t xml:space="preserve">The arts, recreation, and business services had </w:t>
      </w:r>
      <w:r w:rsidR="002E264E" w:rsidRPr="002E264E">
        <w:t>1</w:t>
      </w:r>
      <w:r w:rsidR="003B106D" w:rsidRPr="00280DAF">
        <w:t>6</w:t>
      </w:r>
      <w:r w:rsidR="00567291">
        <w:t>0</w:t>
      </w:r>
      <w:r w:rsidRPr="00280DAF">
        <w:t xml:space="preserve"> projects valued at $2</w:t>
      </w:r>
      <w:r w:rsidR="003B106D" w:rsidRPr="00280DAF">
        <w:t>8.9</w:t>
      </w:r>
      <w:r w:rsidRPr="00280DAF">
        <w:t> billion, an increase of 3</w:t>
      </w:r>
      <w:r w:rsidR="00567291">
        <w:t>1</w:t>
      </w:r>
      <w:r w:rsidRPr="00280DAF">
        <w:t xml:space="preserve"> projects </w:t>
      </w:r>
      <w:r w:rsidR="00112FF2">
        <w:t xml:space="preserve">and an increase </w:t>
      </w:r>
      <w:r w:rsidR="00411530">
        <w:t xml:space="preserve">in total value </w:t>
      </w:r>
      <w:r w:rsidR="00112FF2">
        <w:t>of</w:t>
      </w:r>
      <w:r w:rsidRPr="00280DAF">
        <w:t xml:space="preserve"> $</w:t>
      </w:r>
      <w:r w:rsidR="003B106D" w:rsidRPr="00280DAF">
        <w:t>3.8</w:t>
      </w:r>
      <w:r w:rsidRPr="00280DAF">
        <w:t xml:space="preserve"> billion.</w:t>
      </w:r>
    </w:p>
    <w:p w14:paraId="48F6DE7F" w14:textId="390DD528" w:rsidR="0037231F" w:rsidRPr="00280DAF" w:rsidRDefault="00ED71B8" w:rsidP="00673BE1">
      <w:pPr>
        <w:pStyle w:val="ListBullet"/>
        <w:numPr>
          <w:ilvl w:val="0"/>
          <w:numId w:val="0"/>
        </w:numPr>
        <w:spacing w:after="200" w:line="300" w:lineRule="exact"/>
        <w:contextualSpacing/>
      </w:pPr>
      <w:r w:rsidRPr="00280DAF">
        <w:t>The accommodation pipeline was similar in 2023</w:t>
      </w:r>
      <w:r w:rsidR="0039522C">
        <w:t>–</w:t>
      </w:r>
      <w:r w:rsidRPr="00280DAF">
        <w:t>24 to the previous year</w:t>
      </w:r>
      <w:r w:rsidR="00203E16" w:rsidRPr="00280DAF">
        <w:t xml:space="preserve">. There were </w:t>
      </w:r>
      <w:r w:rsidR="002E264E" w:rsidRPr="002E264E">
        <w:t>1</w:t>
      </w:r>
      <w:r w:rsidR="007E7EFA" w:rsidRPr="00280DAF">
        <w:t>6</w:t>
      </w:r>
      <w:r w:rsidR="00567291">
        <w:t>4</w:t>
      </w:r>
      <w:r w:rsidR="00772593" w:rsidRPr="00280DAF">
        <w:t> projects valued at $11.</w:t>
      </w:r>
      <w:r w:rsidR="00C96BCD" w:rsidRPr="00181D32">
        <w:t>4</w:t>
      </w:r>
      <w:r w:rsidR="00772593" w:rsidRPr="00280DAF">
        <w:t xml:space="preserve"> billion</w:t>
      </w:r>
      <w:r w:rsidR="00E240AB">
        <w:t>,</w:t>
      </w:r>
      <w:r w:rsidR="00772593" w:rsidRPr="00280DAF">
        <w:rPr>
          <w:vertAlign w:val="superscript"/>
        </w:rPr>
        <w:footnoteReference w:id="3"/>
      </w:r>
      <w:r w:rsidR="00772593" w:rsidRPr="00280DAF">
        <w:t xml:space="preserve"> with the potential to add 2</w:t>
      </w:r>
      <w:r w:rsidR="00567291">
        <w:t>3</w:t>
      </w:r>
      <w:r w:rsidR="00772593" w:rsidRPr="00280DAF">
        <w:t>,</w:t>
      </w:r>
      <w:r w:rsidR="00567291">
        <w:t>7</w:t>
      </w:r>
      <w:r w:rsidR="00772593" w:rsidRPr="00280DAF">
        <w:t>00 rooms</w:t>
      </w:r>
      <w:r w:rsidR="00772593" w:rsidRPr="00280DAF">
        <w:rPr>
          <w:vertAlign w:val="superscript"/>
        </w:rPr>
        <w:footnoteReference w:id="4"/>
      </w:r>
      <w:r w:rsidR="00772593" w:rsidRPr="00280DAF">
        <w:t xml:space="preserve"> to accommodation supply. This </w:t>
      </w:r>
      <w:r w:rsidR="00772593" w:rsidRPr="00181D32">
        <w:t xml:space="preserve">was an increase of </w:t>
      </w:r>
      <w:r w:rsidR="00B963C7">
        <w:t>5</w:t>
      </w:r>
      <w:r w:rsidR="00772593" w:rsidRPr="00181D32">
        <w:t xml:space="preserve"> projects</w:t>
      </w:r>
      <w:r w:rsidR="00673BE1" w:rsidRPr="00181D32">
        <w:t>,</w:t>
      </w:r>
      <w:r w:rsidR="00772593" w:rsidRPr="00181D32">
        <w:t xml:space="preserve"> but a decline in </w:t>
      </w:r>
      <w:r w:rsidR="00411530">
        <w:t xml:space="preserve">total </w:t>
      </w:r>
      <w:r w:rsidR="00772593" w:rsidRPr="00181D32">
        <w:t>project value of $0.</w:t>
      </w:r>
      <w:r w:rsidR="00C96BCD" w:rsidRPr="00181D32">
        <w:t>7</w:t>
      </w:r>
      <w:r w:rsidR="00673BE1" w:rsidRPr="00181D32">
        <w:t> </w:t>
      </w:r>
      <w:r w:rsidR="00772593" w:rsidRPr="00181D32">
        <w:t>billion.</w:t>
      </w:r>
      <w:r w:rsidR="00772593" w:rsidRPr="00280DAF">
        <w:t xml:space="preserve"> </w:t>
      </w:r>
      <w:bookmarkStart w:id="48" w:name="_Hlk151983818"/>
    </w:p>
    <w:p w14:paraId="41C29CF5" w14:textId="634A167E" w:rsidR="0037231F" w:rsidRPr="00280DAF" w:rsidRDefault="0037231F" w:rsidP="0037231F">
      <w:pPr>
        <w:keepNext/>
        <w:spacing w:after="160" w:line="259" w:lineRule="auto"/>
        <w:rPr>
          <w:rFonts w:ascii="AUSansText-Medium" w:hAnsi="AUSansText-Medium" w:cs="AUSansText-Medium"/>
          <w:color w:val="auto"/>
        </w:rPr>
      </w:pPr>
      <w:r w:rsidRPr="003024F2">
        <w:rPr>
          <w:b/>
          <w:color w:val="2E1A47" w:themeColor="text2"/>
        </w:rPr>
        <w:t>Figure 1.</w:t>
      </w:r>
      <w:r w:rsidRPr="003024F2">
        <w:rPr>
          <w:rFonts w:ascii="AUSansText-Bold" w:hAnsi="AUSansText-Bold" w:cs="AUSansText-Bold"/>
          <w:b/>
          <w:color w:val="auto"/>
        </w:rPr>
        <w:t xml:space="preserve"> </w:t>
      </w:r>
      <w:r w:rsidRPr="003024F2">
        <w:rPr>
          <w:color w:val="2E1A47" w:themeColor="text2"/>
        </w:rPr>
        <w:t>Value of the tourism investment pipeline in Australia by sector in 202</w:t>
      </w:r>
      <w:r w:rsidR="007F72CD" w:rsidRPr="003024F2">
        <w:rPr>
          <w:color w:val="2E1A47" w:themeColor="text2"/>
        </w:rPr>
        <w:t>2</w:t>
      </w:r>
      <w:r w:rsidR="0039522C">
        <w:rPr>
          <w:color w:val="2E1A47" w:themeColor="text2"/>
        </w:rPr>
        <w:t>–</w:t>
      </w:r>
      <w:r w:rsidRPr="003024F2">
        <w:rPr>
          <w:color w:val="2E1A47" w:themeColor="text2"/>
        </w:rPr>
        <w:t>2</w:t>
      </w:r>
      <w:r w:rsidR="007F72CD" w:rsidRPr="003024F2">
        <w:rPr>
          <w:color w:val="2E1A47" w:themeColor="text2"/>
        </w:rPr>
        <w:t>3</w:t>
      </w:r>
      <w:r w:rsidRPr="003024F2">
        <w:rPr>
          <w:color w:val="2E1A47" w:themeColor="text2"/>
        </w:rPr>
        <w:t xml:space="preserve"> and </w:t>
      </w:r>
      <w:r w:rsidR="007E3F7A" w:rsidRPr="003024F2">
        <w:rPr>
          <w:color w:val="2E1A47" w:themeColor="text2"/>
        </w:rPr>
        <w:t>2023</w:t>
      </w:r>
      <w:r w:rsidR="0039522C">
        <w:rPr>
          <w:color w:val="2E1A47" w:themeColor="text2"/>
        </w:rPr>
        <w:t>–</w:t>
      </w:r>
      <w:r w:rsidR="007E3F7A" w:rsidRPr="003024F2">
        <w:rPr>
          <w:color w:val="2E1A47" w:themeColor="text2"/>
        </w:rPr>
        <w:t>24</w:t>
      </w:r>
      <w:r w:rsidRPr="003024F2">
        <w:rPr>
          <w:color w:val="2E1A47" w:themeColor="text2"/>
        </w:rPr>
        <w:t>.</w:t>
      </w:r>
    </w:p>
    <w:bookmarkEnd w:id="48"/>
    <w:p w14:paraId="620C2F47" w14:textId="4EF2C83F" w:rsidR="0037231F" w:rsidRPr="00280DAF" w:rsidRDefault="005D0D74" w:rsidP="0037231F">
      <w:pPr>
        <w:spacing w:after="160" w:line="259" w:lineRule="auto"/>
      </w:pPr>
      <w:r>
        <w:rPr>
          <w:noProof/>
        </w:rPr>
        <w:drawing>
          <wp:inline distT="0" distB="0" distL="0" distR="0" wp14:anchorId="74839C17" wp14:editId="7A6D9822">
            <wp:extent cx="6329680" cy="2115185"/>
            <wp:effectExtent l="0" t="0" r="13970" b="0"/>
            <wp:docPr id="1900982877" name="Chart 1" descr="Figure 1 shows the value of the tourism investment pipeline in Australia by sector in 2022-23 and 2023-24. The total value of the pipeline  increased in 2023-24 compared with 2022-23. The arts, recreation and business services component of the pipeline is the largest of the three components in each of the 2 years. &#10;">
              <a:extLst xmlns:a="http://schemas.openxmlformats.org/drawingml/2006/main">
                <a:ext uri="{FF2B5EF4-FFF2-40B4-BE49-F238E27FC236}">
                  <a16:creationId xmlns:a16="http://schemas.microsoft.com/office/drawing/2014/main" id="{76A24BDF-D4C2-49CA-B8B4-CCEA632A2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F11FD8" w14:textId="178F58BD" w:rsidR="00290C7D" w:rsidRPr="00280DAF" w:rsidRDefault="00290C7D" w:rsidP="00290C7D">
      <w:r w:rsidRPr="00280DAF">
        <w:t xml:space="preserve">There were </w:t>
      </w:r>
      <w:r w:rsidR="002E264E" w:rsidRPr="002E264E">
        <w:t>1</w:t>
      </w:r>
      <w:r w:rsidRPr="00280DAF">
        <w:t>0</w:t>
      </w:r>
      <w:r w:rsidR="00C103DD">
        <w:t>8</w:t>
      </w:r>
      <w:r w:rsidRPr="00280DAF">
        <w:t xml:space="preserve"> </w:t>
      </w:r>
      <w:r w:rsidRPr="00280DAF">
        <w:rPr>
          <w:b/>
          <w:bCs/>
        </w:rPr>
        <w:t>new projects</w:t>
      </w:r>
      <w:r w:rsidRPr="00280DAF">
        <w:t xml:space="preserve"> valued at $14.</w:t>
      </w:r>
      <w:r w:rsidR="00000DDD">
        <w:t>2</w:t>
      </w:r>
      <w:r w:rsidRPr="00280DAF">
        <w:t xml:space="preserve"> billion added to the pipeline in 2023</w:t>
      </w:r>
      <w:r w:rsidR="0039522C">
        <w:t>–</w:t>
      </w:r>
      <w:r w:rsidRPr="00280DAF">
        <w:t>24. They accounted for 2</w:t>
      </w:r>
      <w:r w:rsidR="005D5C5C">
        <w:t>2</w:t>
      </w:r>
      <w:r w:rsidRPr="00280DAF">
        <w:t>% of the total value of the investment pipeline for 2023</w:t>
      </w:r>
      <w:r w:rsidR="0039522C">
        <w:t>–</w:t>
      </w:r>
      <w:r w:rsidRPr="00280DAF">
        <w:t>24 and were predominantly in the arts, recreation, and business services, and accommodation sectors</w:t>
      </w:r>
      <w:r w:rsidR="00BC7353">
        <w:t xml:space="preserve">. </w:t>
      </w:r>
      <w:r w:rsidRPr="00280DAF">
        <w:t>New projects by stage:</w:t>
      </w:r>
    </w:p>
    <w:p w14:paraId="405F7E01" w14:textId="77777777" w:rsidR="00290C7D" w:rsidRPr="00280DAF" w:rsidRDefault="00290C7D" w:rsidP="00290C7D">
      <w:pPr>
        <w:pStyle w:val="BulletList"/>
      </w:pPr>
      <w:r w:rsidRPr="00280DAF">
        <w:t>6 new projects in aviation</w:t>
      </w:r>
    </w:p>
    <w:p w14:paraId="2A71D2B8" w14:textId="77777777" w:rsidR="00290C7D" w:rsidRPr="00280DAF" w:rsidRDefault="00290C7D" w:rsidP="00290C7D">
      <w:pPr>
        <w:pStyle w:val="BulletList"/>
      </w:pPr>
      <w:r w:rsidRPr="00280DAF">
        <w:t xml:space="preserve">52 new projects in arts, recreation and business services </w:t>
      </w:r>
    </w:p>
    <w:p w14:paraId="6BAD94F6" w14:textId="7946163D" w:rsidR="00290C7D" w:rsidRPr="00280DAF" w:rsidRDefault="00290C7D" w:rsidP="00290C7D">
      <w:pPr>
        <w:pStyle w:val="BulletList"/>
      </w:pPr>
      <w:r w:rsidRPr="00280DAF">
        <w:t>5</w:t>
      </w:r>
      <w:r w:rsidR="00567291">
        <w:t>0</w:t>
      </w:r>
      <w:r w:rsidRPr="00280DAF">
        <w:t xml:space="preserve"> new projects in accommodation</w:t>
      </w:r>
    </w:p>
    <w:p w14:paraId="6F8AABCB" w14:textId="77777777" w:rsidR="00950AAA" w:rsidRDefault="00950AAA">
      <w:pPr>
        <w:spacing w:after="160" w:line="259" w:lineRule="auto"/>
        <w:rPr>
          <w:rFonts w:eastAsia="SimSun" w:cs="Times New Roman"/>
          <w:bCs/>
          <w:color w:val="3D2141" w:themeColor="accent1" w:themeShade="80"/>
          <w:sz w:val="32"/>
          <w:szCs w:val="26"/>
          <w:lang w:eastAsia="zh-CN"/>
        </w:rPr>
      </w:pPr>
      <w:r>
        <w:br w:type="page"/>
      </w:r>
    </w:p>
    <w:p w14:paraId="7BD072E3" w14:textId="55F9E9C9" w:rsidR="0037231F" w:rsidRPr="00280DAF" w:rsidRDefault="0037231F" w:rsidP="00EB790B">
      <w:pPr>
        <w:pStyle w:val="Heading2"/>
      </w:pPr>
      <w:bookmarkStart w:id="49" w:name="_Toc191539016"/>
      <w:r w:rsidRPr="00280DAF">
        <w:lastRenderedPageBreak/>
        <w:t>Project phases</w:t>
      </w:r>
      <w:r w:rsidR="0051017E">
        <w:t xml:space="preserve"> overview</w:t>
      </w:r>
      <w:bookmarkEnd w:id="49"/>
    </w:p>
    <w:p w14:paraId="36712AF0" w14:textId="77777777" w:rsidR="0037231F" w:rsidRPr="00280DAF" w:rsidRDefault="0037231F" w:rsidP="0037231F">
      <w:pPr>
        <w:rPr>
          <w:b/>
          <w:bCs/>
        </w:rPr>
      </w:pPr>
      <w:r w:rsidRPr="00280DAF">
        <w:t>The project pipeline includes 3 development stages (see Methodology section for details):</w:t>
      </w:r>
    </w:p>
    <w:p w14:paraId="2E8916D9" w14:textId="77777777" w:rsidR="0037231F" w:rsidRPr="00280DAF" w:rsidRDefault="0037231F" w:rsidP="00A03FFB">
      <w:pPr>
        <w:pStyle w:val="BulletList"/>
      </w:pPr>
      <w:r w:rsidRPr="00280DAF">
        <w:rPr>
          <w:b/>
          <w:bCs/>
        </w:rPr>
        <w:t>proposed</w:t>
      </w:r>
      <w:r w:rsidRPr="00280DAF">
        <w:t xml:space="preserve"> – projects that have been announced but may not have precise information or formal plans publicly available </w:t>
      </w:r>
    </w:p>
    <w:p w14:paraId="5C3E5E9E" w14:textId="0EAE6F3B" w:rsidR="0037231F" w:rsidRPr="00280DAF" w:rsidRDefault="0037231F" w:rsidP="00A03FFB">
      <w:pPr>
        <w:pStyle w:val="BulletList"/>
      </w:pPr>
      <w:r w:rsidRPr="00280DAF">
        <w:rPr>
          <w:b/>
          <w:bCs/>
        </w:rPr>
        <w:t>planning</w:t>
      </w:r>
      <w:r w:rsidRPr="00280DAF">
        <w:t xml:space="preserve"> – projects in the planning stage, such as appointing developers and architects or relevant development approvals</w:t>
      </w:r>
    </w:p>
    <w:p w14:paraId="5FC0C0CB" w14:textId="54EDEBD8" w:rsidR="0037231F" w:rsidRPr="00280DAF" w:rsidRDefault="0037231F" w:rsidP="00A03FFB">
      <w:pPr>
        <w:pStyle w:val="BulletList"/>
      </w:pPr>
      <w:r w:rsidRPr="00280DAF">
        <w:rPr>
          <w:b/>
          <w:bCs/>
        </w:rPr>
        <w:t>under construction</w:t>
      </w:r>
      <w:r w:rsidRPr="00280DAF">
        <w:t xml:space="preserve"> – projects where ground has been broken on the construction site.</w:t>
      </w:r>
    </w:p>
    <w:p w14:paraId="3E5D0AB7" w14:textId="0D52A004" w:rsidR="0037231F" w:rsidRPr="00280DAF" w:rsidRDefault="0037231F" w:rsidP="0037231F">
      <w:r w:rsidRPr="00280DAF">
        <w:t xml:space="preserve">The </w:t>
      </w:r>
      <w:r w:rsidR="007E3F7A" w:rsidRPr="00280DAF">
        <w:t>2023</w:t>
      </w:r>
      <w:r w:rsidR="0039522C">
        <w:t>–</w:t>
      </w:r>
      <w:r w:rsidR="007E3F7A" w:rsidRPr="00280DAF">
        <w:t>24</w:t>
      </w:r>
      <w:r w:rsidRPr="00280DAF">
        <w:t xml:space="preserve"> pipeline includes:</w:t>
      </w:r>
    </w:p>
    <w:p w14:paraId="1270E750" w14:textId="4616A84D" w:rsidR="0037231F" w:rsidRPr="00280DAF" w:rsidRDefault="00196CB8" w:rsidP="00A03FFB">
      <w:pPr>
        <w:pStyle w:val="BulletList"/>
      </w:pPr>
      <w:r w:rsidRPr="00280DAF">
        <w:t>3</w:t>
      </w:r>
      <w:r w:rsidR="000A2971" w:rsidRPr="00280DAF">
        <w:t>2</w:t>
      </w:r>
      <w:r w:rsidR="0037231F" w:rsidRPr="00280DAF">
        <w:t xml:space="preserve"> projects valued at $1</w:t>
      </w:r>
      <w:r w:rsidRPr="00280DAF">
        <w:t>6</w:t>
      </w:r>
      <w:r w:rsidR="0037231F" w:rsidRPr="00280DAF">
        <w:t xml:space="preserve"> billion in the </w:t>
      </w:r>
      <w:r w:rsidR="0037231F" w:rsidRPr="00280DAF">
        <w:rPr>
          <w:b/>
          <w:bCs/>
        </w:rPr>
        <w:t>proposed</w:t>
      </w:r>
      <w:r w:rsidR="0037231F" w:rsidRPr="00280DAF">
        <w:t xml:space="preserve"> phase</w:t>
      </w:r>
    </w:p>
    <w:p w14:paraId="1066952C" w14:textId="31FA637C" w:rsidR="0037231F" w:rsidRPr="00280DAF" w:rsidRDefault="002E264E" w:rsidP="00A03FFB">
      <w:pPr>
        <w:pStyle w:val="BulletList"/>
      </w:pPr>
      <w:r w:rsidRPr="002E264E">
        <w:t>1</w:t>
      </w:r>
      <w:r w:rsidR="008D27DA" w:rsidRPr="00280DAF">
        <w:t>8</w:t>
      </w:r>
      <w:r w:rsidR="00524D03">
        <w:t>0</w:t>
      </w:r>
      <w:r w:rsidR="0037231F" w:rsidRPr="00280DAF">
        <w:t xml:space="preserve"> projects valued at $2</w:t>
      </w:r>
      <w:r w:rsidR="003F7978" w:rsidRPr="00280DAF">
        <w:t>8</w:t>
      </w:r>
      <w:r w:rsidR="0037231F" w:rsidRPr="00280DAF">
        <w:t xml:space="preserve"> billion in the </w:t>
      </w:r>
      <w:r w:rsidR="0037231F" w:rsidRPr="00280DAF">
        <w:rPr>
          <w:b/>
          <w:bCs/>
        </w:rPr>
        <w:t>planning</w:t>
      </w:r>
      <w:r w:rsidR="0037231F" w:rsidRPr="00280DAF">
        <w:t xml:space="preserve"> phase</w:t>
      </w:r>
    </w:p>
    <w:p w14:paraId="4A7579CC" w14:textId="40A29D3C" w:rsidR="0037231F" w:rsidRPr="00280DAF" w:rsidRDefault="002E264E" w:rsidP="00A03FFB">
      <w:pPr>
        <w:pStyle w:val="BulletList"/>
      </w:pPr>
      <w:r w:rsidRPr="002E264E">
        <w:t>1</w:t>
      </w:r>
      <w:r w:rsidR="00520ED9" w:rsidRPr="00280DAF">
        <w:t>3</w:t>
      </w:r>
      <w:r w:rsidR="00524D03">
        <w:t>4</w:t>
      </w:r>
      <w:r w:rsidR="0037231F" w:rsidRPr="00280DAF">
        <w:t xml:space="preserve"> projects valued at $</w:t>
      </w:r>
      <w:r w:rsidR="003F7978" w:rsidRPr="00280DAF">
        <w:t>19.</w:t>
      </w:r>
      <w:r w:rsidR="00524D03">
        <w:t>4</w:t>
      </w:r>
      <w:r w:rsidR="0037231F" w:rsidRPr="00280DAF">
        <w:t xml:space="preserve"> billion in the </w:t>
      </w:r>
      <w:r w:rsidR="0037231F" w:rsidRPr="00280DAF">
        <w:rPr>
          <w:b/>
          <w:bCs/>
        </w:rPr>
        <w:t>under</w:t>
      </w:r>
      <w:r w:rsidR="0039522C">
        <w:rPr>
          <w:b/>
          <w:bCs/>
        </w:rPr>
        <w:t>–</w:t>
      </w:r>
      <w:r w:rsidR="0037231F" w:rsidRPr="00280DAF">
        <w:rPr>
          <w:b/>
          <w:bCs/>
        </w:rPr>
        <w:t>construction</w:t>
      </w:r>
      <w:r w:rsidR="0037231F" w:rsidRPr="00280DAF">
        <w:t xml:space="preserve"> phase (Figure 2).</w:t>
      </w:r>
    </w:p>
    <w:p w14:paraId="6419740F" w14:textId="4716F1E1" w:rsidR="0037231F" w:rsidRPr="00280DAF" w:rsidRDefault="0037231F" w:rsidP="0037231F">
      <w:pPr>
        <w:spacing w:before="360"/>
        <w:rPr>
          <w:i/>
          <w:iCs/>
          <w:color w:val="2E1A47" w:themeColor="text2"/>
        </w:rPr>
      </w:pPr>
      <w:r w:rsidRPr="0032260A">
        <w:rPr>
          <w:b/>
          <w:color w:val="2E1A47" w:themeColor="text2"/>
        </w:rPr>
        <w:t>Figure 2:</w:t>
      </w:r>
      <w:r w:rsidRPr="0032260A">
        <w:rPr>
          <w:color w:val="2E1A47" w:themeColor="text2"/>
        </w:rPr>
        <w:t xml:space="preserve"> Value of the tourism investment pipeline in Australia by project phase in 202</w:t>
      </w:r>
      <w:r w:rsidR="00D91A24" w:rsidRPr="0032260A">
        <w:rPr>
          <w:color w:val="2E1A47" w:themeColor="text2"/>
        </w:rPr>
        <w:t>2</w:t>
      </w:r>
      <w:r w:rsidR="0039522C">
        <w:rPr>
          <w:color w:val="2E1A47" w:themeColor="text2"/>
        </w:rPr>
        <w:t>–</w:t>
      </w:r>
      <w:r w:rsidRPr="0032260A">
        <w:rPr>
          <w:color w:val="2E1A47" w:themeColor="text2"/>
        </w:rPr>
        <w:t>2</w:t>
      </w:r>
      <w:r w:rsidR="00D91A24" w:rsidRPr="0032260A">
        <w:rPr>
          <w:color w:val="2E1A47" w:themeColor="text2"/>
        </w:rPr>
        <w:t>3</w:t>
      </w:r>
      <w:r w:rsidRPr="0032260A">
        <w:rPr>
          <w:color w:val="2E1A47" w:themeColor="text2"/>
        </w:rPr>
        <w:t xml:space="preserve"> and </w:t>
      </w:r>
      <w:r w:rsidR="007E3F7A" w:rsidRPr="0032260A">
        <w:rPr>
          <w:color w:val="2E1A47" w:themeColor="text2"/>
        </w:rPr>
        <w:t>2023</w:t>
      </w:r>
      <w:r w:rsidR="0039522C">
        <w:rPr>
          <w:color w:val="2E1A47" w:themeColor="text2"/>
        </w:rPr>
        <w:t>–</w:t>
      </w:r>
      <w:r w:rsidR="007E3F7A" w:rsidRPr="0032260A">
        <w:rPr>
          <w:color w:val="2E1A47" w:themeColor="text2"/>
        </w:rPr>
        <w:t>24</w:t>
      </w:r>
      <w:r w:rsidR="00B96F09" w:rsidRPr="0032260A">
        <w:rPr>
          <w:color w:val="2E1A47" w:themeColor="text2"/>
        </w:rPr>
        <w:t>.</w:t>
      </w:r>
      <w:r w:rsidRPr="0032260A">
        <w:rPr>
          <w:rStyle w:val="FootnoteReference"/>
          <w:color w:val="2E1A47" w:themeColor="text2"/>
        </w:rPr>
        <w:footnoteReference w:id="5"/>
      </w:r>
    </w:p>
    <w:p w14:paraId="3F864DFF" w14:textId="243FA1C0" w:rsidR="0037231F" w:rsidRPr="00280DAF" w:rsidRDefault="0032260A" w:rsidP="0037231F">
      <w:pPr>
        <w:pStyle w:val="ListBullet"/>
        <w:numPr>
          <w:ilvl w:val="0"/>
          <w:numId w:val="0"/>
        </w:numPr>
        <w:rPr>
          <w:noProof/>
        </w:rPr>
      </w:pPr>
      <w:r>
        <w:rPr>
          <w:noProof/>
        </w:rPr>
        <w:drawing>
          <wp:inline distT="0" distB="0" distL="0" distR="0" wp14:anchorId="2F0B0A7C" wp14:editId="293EC918">
            <wp:extent cx="6329680" cy="1957705"/>
            <wp:effectExtent l="0" t="0" r="13970" b="4445"/>
            <wp:docPr id="1505522554" name="Chart 1" descr="Figure 2 shows the value of the tourism investment pipeline in Australia by project phase in 2022-23 and in 2023-24.The total value, and all three components of the pipeline by phase have increased in value from 2022-23 to 2023-24.&#10;">
              <a:extLst xmlns:a="http://schemas.openxmlformats.org/drawingml/2006/main">
                <a:ext uri="{FF2B5EF4-FFF2-40B4-BE49-F238E27FC236}">
                  <a16:creationId xmlns:a16="http://schemas.microsoft.com/office/drawing/2014/main" id="{15325702-61B6-4637-9591-05CFDBE324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37231F" w:rsidRPr="00280DAF">
        <w:rPr>
          <w:noProof/>
        </w:rPr>
        <w:t xml:space="preserve"> </w:t>
      </w:r>
    </w:p>
    <w:p w14:paraId="1E6B14B8" w14:textId="77777777" w:rsidR="0037231F" w:rsidRPr="00280DAF" w:rsidRDefault="0037231F" w:rsidP="0037231F">
      <w:pPr>
        <w:pStyle w:val="ListBullet"/>
        <w:numPr>
          <w:ilvl w:val="0"/>
          <w:numId w:val="0"/>
        </w:numPr>
        <w:rPr>
          <w:noProof/>
        </w:rPr>
      </w:pPr>
    </w:p>
    <w:p w14:paraId="7EFE0DD9" w14:textId="77777777" w:rsidR="007A0A14" w:rsidRPr="00C403F0" w:rsidRDefault="00132D87" w:rsidP="00132D87">
      <w:r w:rsidRPr="00C403F0">
        <w:t xml:space="preserve">Completed projects are removed from the pipeline. </w:t>
      </w:r>
      <w:r w:rsidR="00C348BD" w:rsidRPr="00C403F0">
        <w:t>(</w:t>
      </w:r>
      <w:r w:rsidRPr="00C403F0">
        <w:t xml:space="preserve">Similarly, projects that have been put on hold, deferred, or are no longer going ahead are </w:t>
      </w:r>
      <w:r w:rsidR="00C74C96" w:rsidRPr="00C403F0">
        <w:t>classified</w:t>
      </w:r>
      <w:r w:rsidRPr="00C403F0">
        <w:t xml:space="preserve"> </w:t>
      </w:r>
      <w:r w:rsidR="00C74C96" w:rsidRPr="00C403F0">
        <w:t xml:space="preserve">as having </w:t>
      </w:r>
      <w:r w:rsidRPr="00C403F0">
        <w:t>exited the pipeline in that year.</w:t>
      </w:r>
      <w:r w:rsidR="00C348BD" w:rsidRPr="00C403F0">
        <w:t>)</w:t>
      </w:r>
      <w:r w:rsidRPr="00C403F0">
        <w:t xml:space="preserve"> </w:t>
      </w:r>
    </w:p>
    <w:p w14:paraId="1C658EF1" w14:textId="76780EEF" w:rsidR="00132D87" w:rsidRPr="00C403F0" w:rsidRDefault="00132D87" w:rsidP="00132D87">
      <w:r w:rsidRPr="00C403F0">
        <w:t xml:space="preserve">In </w:t>
      </w:r>
      <w:r w:rsidR="000F2E48" w:rsidRPr="00C403F0">
        <w:t>2023</w:t>
      </w:r>
      <w:r w:rsidR="0039522C">
        <w:t>–</w:t>
      </w:r>
      <w:r w:rsidR="000F2E48" w:rsidRPr="00C403F0">
        <w:t>24</w:t>
      </w:r>
      <w:r w:rsidRPr="00C403F0">
        <w:t xml:space="preserve">, </w:t>
      </w:r>
      <w:r w:rsidR="000B4F9F" w:rsidRPr="00C403F0">
        <w:t>3</w:t>
      </w:r>
      <w:r w:rsidR="005C0BC8" w:rsidRPr="00C403F0">
        <w:t>3</w:t>
      </w:r>
      <w:r w:rsidR="000F2E48" w:rsidRPr="00C403F0">
        <w:t xml:space="preserve"> </w:t>
      </w:r>
      <w:r w:rsidRPr="00C403F0">
        <w:t>projects worth $</w:t>
      </w:r>
      <w:r w:rsidR="007A0A14" w:rsidRPr="00C403F0">
        <w:t>3.</w:t>
      </w:r>
      <w:r w:rsidR="005C0BC8" w:rsidRPr="00C403F0">
        <w:t>6</w:t>
      </w:r>
      <w:r w:rsidRPr="00C403F0">
        <w:t xml:space="preserve"> billion were </w:t>
      </w:r>
      <w:r w:rsidR="00C403F0" w:rsidRPr="00C403F0">
        <w:t>completed.</w:t>
      </w:r>
      <w:r w:rsidR="00EB18F6" w:rsidRPr="00C403F0">
        <w:t xml:space="preserve"> By sector, there were:</w:t>
      </w:r>
    </w:p>
    <w:p w14:paraId="062D4FEE" w14:textId="2A733110" w:rsidR="00A41A4F" w:rsidRPr="00C403F0" w:rsidRDefault="00A41A4F" w:rsidP="00A41A4F">
      <w:pPr>
        <w:pStyle w:val="BulletList"/>
      </w:pPr>
      <w:r w:rsidRPr="00C403F0">
        <w:t>17 completed projects in accommodation</w:t>
      </w:r>
      <w:r w:rsidR="00F454AD" w:rsidRPr="00C403F0">
        <w:t xml:space="preserve"> </w:t>
      </w:r>
      <w:r w:rsidR="009D0CC9" w:rsidRPr="00C403F0">
        <w:t>worth $1.2 billion</w:t>
      </w:r>
    </w:p>
    <w:p w14:paraId="46BF7703" w14:textId="642821B8" w:rsidR="00A41A4F" w:rsidRPr="00C403F0" w:rsidRDefault="00A03FD7" w:rsidP="00A41A4F">
      <w:pPr>
        <w:pStyle w:val="BulletList"/>
      </w:pPr>
      <w:r w:rsidRPr="00C403F0">
        <w:t>1</w:t>
      </w:r>
      <w:r w:rsidR="00BA2D23" w:rsidRPr="00C403F0">
        <w:t>4</w:t>
      </w:r>
      <w:r w:rsidRPr="00C403F0">
        <w:t xml:space="preserve"> completed projects in arts, recreation and business services</w:t>
      </w:r>
      <w:r w:rsidR="00F454AD" w:rsidRPr="00C403F0">
        <w:t xml:space="preserve"> worth $</w:t>
      </w:r>
      <w:r w:rsidR="00942F38" w:rsidRPr="00C403F0">
        <w:t>1.8</w:t>
      </w:r>
      <w:r w:rsidR="00F454AD" w:rsidRPr="00C403F0">
        <w:t xml:space="preserve"> billion</w:t>
      </w:r>
    </w:p>
    <w:p w14:paraId="199BFA34" w14:textId="4C034823" w:rsidR="00A41A4F" w:rsidRPr="00C403F0" w:rsidRDefault="0090675B" w:rsidP="00A41A4F">
      <w:pPr>
        <w:pStyle w:val="BulletList"/>
      </w:pPr>
      <w:r w:rsidRPr="00C403F0">
        <w:t>2</w:t>
      </w:r>
      <w:r w:rsidR="002343F7" w:rsidRPr="00C403F0">
        <w:t xml:space="preserve"> completed projects in aviation worth </w:t>
      </w:r>
      <w:r w:rsidR="00F454AD" w:rsidRPr="00C403F0">
        <w:t>$</w:t>
      </w:r>
      <w:r w:rsidRPr="00C403F0">
        <w:t>0.5</w:t>
      </w:r>
      <w:r w:rsidR="00F454AD" w:rsidRPr="00C403F0">
        <w:t xml:space="preserve"> billion</w:t>
      </w:r>
    </w:p>
    <w:p w14:paraId="0D068B99" w14:textId="4F5DF7D9" w:rsidR="0037231F" w:rsidRPr="00B16B12" w:rsidRDefault="0037231F" w:rsidP="00FD01BA">
      <w:pPr>
        <w:rPr>
          <w:rFonts w:eastAsia="Verdana" w:cs="Times New Roman"/>
          <w:color w:val="000000"/>
        </w:rPr>
      </w:pPr>
      <w:r w:rsidRPr="00B16B12">
        <w:rPr>
          <w:rFonts w:eastAsia="Verdana" w:cs="Times New Roman"/>
          <w:color w:val="000000"/>
        </w:rPr>
        <w:t>The arts, recreation, and business services sector contributed most to the value of tourism projects in the planning phase</w:t>
      </w:r>
      <w:r w:rsidR="00A12036">
        <w:rPr>
          <w:rFonts w:eastAsia="Verdana" w:cs="Times New Roman"/>
          <w:color w:val="000000"/>
        </w:rPr>
        <w:t>,</w:t>
      </w:r>
      <w:r w:rsidRPr="00B16B12">
        <w:rPr>
          <w:rFonts w:eastAsia="Verdana" w:cs="Times New Roman"/>
          <w:color w:val="000000"/>
        </w:rPr>
        <w:t xml:space="preserve"> </w:t>
      </w:r>
      <w:r w:rsidR="006D6BFD">
        <w:rPr>
          <w:rFonts w:eastAsia="Verdana" w:cs="Times New Roman"/>
          <w:color w:val="000000"/>
        </w:rPr>
        <w:t>accounting</w:t>
      </w:r>
      <w:r w:rsidRPr="00B16B12">
        <w:rPr>
          <w:rFonts w:eastAsia="Verdana" w:cs="Times New Roman"/>
          <w:color w:val="000000"/>
        </w:rPr>
        <w:t xml:space="preserve"> </w:t>
      </w:r>
      <w:r w:rsidR="005B4579">
        <w:rPr>
          <w:rFonts w:eastAsia="Verdana" w:cs="Times New Roman"/>
          <w:color w:val="000000"/>
        </w:rPr>
        <w:t xml:space="preserve">for </w:t>
      </w:r>
      <w:r w:rsidR="006D6BFD">
        <w:rPr>
          <w:rFonts w:eastAsia="Verdana" w:cs="Times New Roman"/>
          <w:color w:val="000000"/>
        </w:rPr>
        <w:t>$16.6 billion</w:t>
      </w:r>
      <w:r w:rsidR="005B4579">
        <w:rPr>
          <w:rFonts w:eastAsia="Verdana" w:cs="Times New Roman"/>
          <w:color w:val="000000"/>
        </w:rPr>
        <w:t xml:space="preserve"> </w:t>
      </w:r>
      <w:r w:rsidR="005B4579" w:rsidRPr="00B16B12">
        <w:rPr>
          <w:rFonts w:eastAsia="Verdana" w:cs="Times New Roman"/>
          <w:color w:val="000000"/>
        </w:rPr>
        <w:t xml:space="preserve">(59%) </w:t>
      </w:r>
      <w:r w:rsidRPr="00B16B12">
        <w:rPr>
          <w:rFonts w:eastAsia="Verdana" w:cs="Times New Roman"/>
          <w:color w:val="000000"/>
        </w:rPr>
        <w:t xml:space="preserve">in </w:t>
      </w:r>
      <w:r w:rsidR="007E3F7A" w:rsidRPr="00B16B12">
        <w:rPr>
          <w:rFonts w:eastAsia="Verdana" w:cs="Times New Roman"/>
          <w:color w:val="000000"/>
        </w:rPr>
        <w:t>2023</w:t>
      </w:r>
      <w:r w:rsidR="0039522C">
        <w:rPr>
          <w:rFonts w:eastAsia="Verdana" w:cs="Times New Roman"/>
          <w:color w:val="000000"/>
        </w:rPr>
        <w:t>–</w:t>
      </w:r>
      <w:r w:rsidR="007E3F7A" w:rsidRPr="00B16B12">
        <w:rPr>
          <w:rFonts w:eastAsia="Verdana" w:cs="Times New Roman"/>
          <w:color w:val="000000"/>
        </w:rPr>
        <w:t>24</w:t>
      </w:r>
      <w:r w:rsidRPr="00B16B12">
        <w:rPr>
          <w:rFonts w:eastAsia="Verdana" w:cs="Times New Roman"/>
          <w:color w:val="000000"/>
        </w:rPr>
        <w:t>. The aviation sector accounted for $</w:t>
      </w:r>
      <w:r w:rsidR="00D04CA9" w:rsidRPr="00B16B12">
        <w:rPr>
          <w:rFonts w:eastAsia="Verdana" w:cs="Times New Roman"/>
          <w:color w:val="000000"/>
        </w:rPr>
        <w:t>10</w:t>
      </w:r>
      <w:r w:rsidRPr="00B16B12">
        <w:rPr>
          <w:rFonts w:eastAsia="Verdana" w:cs="Times New Roman"/>
          <w:color w:val="000000"/>
        </w:rPr>
        <w:t xml:space="preserve">.3 billion </w:t>
      </w:r>
      <w:r w:rsidR="0058078C" w:rsidRPr="00B16B12">
        <w:rPr>
          <w:rFonts w:eastAsia="Verdana" w:cs="Times New Roman"/>
          <w:color w:val="000000"/>
        </w:rPr>
        <w:t xml:space="preserve">(64%) </w:t>
      </w:r>
      <w:r w:rsidRPr="00B16B12">
        <w:rPr>
          <w:rFonts w:eastAsia="Verdana" w:cs="Times New Roman"/>
          <w:color w:val="000000"/>
        </w:rPr>
        <w:t xml:space="preserve">of the total value of projects in the proposed phase (Figure 3). </w:t>
      </w:r>
    </w:p>
    <w:p w14:paraId="4F261B43" w14:textId="2ED1B781" w:rsidR="0037231F" w:rsidRPr="00280DAF" w:rsidRDefault="0037231F" w:rsidP="006E0EB2">
      <w:pPr>
        <w:pStyle w:val="ListBullet"/>
        <w:keepNext/>
        <w:numPr>
          <w:ilvl w:val="0"/>
          <w:numId w:val="0"/>
        </w:numPr>
        <w:spacing w:before="360"/>
        <w:rPr>
          <w:noProof/>
          <w:color w:val="2E1A47" w:themeColor="text2"/>
        </w:rPr>
      </w:pPr>
      <w:r w:rsidRPr="00B16B12">
        <w:rPr>
          <w:rFonts w:ascii="Verdana" w:eastAsia="Verdana" w:hAnsi="Verdana" w:cs="Times New Roman"/>
          <w:b/>
          <w:color w:val="2E1A47" w:themeColor="text2"/>
          <w:lang w:eastAsia="en-US"/>
        </w:rPr>
        <w:lastRenderedPageBreak/>
        <w:t>Figure 3:</w:t>
      </w:r>
      <w:r w:rsidRPr="00B16B12">
        <w:rPr>
          <w:rFonts w:ascii="Verdana" w:eastAsia="Verdana" w:hAnsi="Verdana" w:cs="Times New Roman"/>
          <w:color w:val="2E1A47" w:themeColor="text2"/>
          <w:lang w:eastAsia="en-US"/>
        </w:rPr>
        <w:t xml:space="preserve"> Value of the tourism investment pipeline in Australia by sector and phase in </w:t>
      </w:r>
      <w:r w:rsidR="007E3F7A" w:rsidRPr="00B16B12">
        <w:rPr>
          <w:rFonts w:ascii="Verdana" w:eastAsia="Verdana" w:hAnsi="Verdana" w:cs="Times New Roman"/>
          <w:color w:val="2E1A47" w:themeColor="text2"/>
          <w:lang w:eastAsia="en-US"/>
        </w:rPr>
        <w:t>2023</w:t>
      </w:r>
      <w:r w:rsidR="0039522C">
        <w:rPr>
          <w:rFonts w:ascii="Verdana" w:eastAsia="Verdana" w:hAnsi="Verdana" w:cs="Times New Roman"/>
          <w:color w:val="2E1A47" w:themeColor="text2"/>
          <w:lang w:eastAsia="en-US"/>
        </w:rPr>
        <w:t>–</w:t>
      </w:r>
      <w:r w:rsidR="007E3F7A" w:rsidRPr="00B16B12">
        <w:rPr>
          <w:rFonts w:ascii="Verdana" w:eastAsia="Verdana" w:hAnsi="Verdana" w:cs="Times New Roman"/>
          <w:color w:val="2E1A47" w:themeColor="text2"/>
          <w:lang w:eastAsia="en-US"/>
        </w:rPr>
        <w:t>24</w:t>
      </w:r>
      <w:r w:rsidR="00B70BCE" w:rsidRPr="00B16B12">
        <w:rPr>
          <w:rFonts w:ascii="Verdana" w:eastAsia="Verdana" w:hAnsi="Verdana" w:cs="Times New Roman"/>
          <w:color w:val="2E1A47" w:themeColor="text2"/>
          <w:lang w:eastAsia="en-US"/>
        </w:rPr>
        <w:t>.</w:t>
      </w:r>
      <w:r w:rsidRPr="00B16B12">
        <w:rPr>
          <w:rStyle w:val="FootnoteReference"/>
          <w:rFonts w:ascii="Verdana" w:eastAsia="Verdana" w:hAnsi="Verdana" w:cs="Times New Roman"/>
          <w:color w:val="2E1A47" w:themeColor="text2"/>
          <w:lang w:eastAsia="en-US"/>
        </w:rPr>
        <w:footnoteReference w:id="6"/>
      </w:r>
    </w:p>
    <w:p w14:paraId="0D45141D" w14:textId="35ED7A8A" w:rsidR="00FF43F9" w:rsidRPr="00280DAF" w:rsidRDefault="00AD1873">
      <w:pPr>
        <w:spacing w:after="160" w:line="259" w:lineRule="auto"/>
        <w:rPr>
          <w:rFonts w:eastAsia="SimSun" w:cs="Times New Roman"/>
          <w:bCs/>
          <w:color w:val="3D2141" w:themeColor="accent1" w:themeShade="80"/>
          <w:sz w:val="32"/>
          <w:szCs w:val="26"/>
          <w:lang w:eastAsia="zh-CN"/>
        </w:rPr>
      </w:pPr>
      <w:bookmarkStart w:id="50" w:name="_Toc95805095"/>
      <w:bookmarkStart w:id="51" w:name="_Toc126933030"/>
      <w:bookmarkStart w:id="52" w:name="_Toc126933914"/>
      <w:bookmarkStart w:id="53" w:name="_Toc1226190558"/>
      <w:bookmarkStart w:id="54" w:name="_Toc153782352"/>
      <w:r>
        <w:rPr>
          <w:noProof/>
        </w:rPr>
        <w:drawing>
          <wp:inline distT="0" distB="0" distL="0" distR="0" wp14:anchorId="78C7FAEF" wp14:editId="6F01DA06">
            <wp:extent cx="6329680" cy="2495550"/>
            <wp:effectExtent l="0" t="0" r="13970" b="0"/>
            <wp:docPr id="1311280452" name="Chart 1" descr="Figure 3 shows the value of the tourism investment pipeline for 2023-24 by sector and by project phase. The arts, recreation and business services pipeline is the largest by value ($29.3 billion) and almost half of this is in the planning phase ($13.7 billion).&#10;">
              <a:extLst xmlns:a="http://schemas.openxmlformats.org/drawingml/2006/main">
                <a:ext uri="{FF2B5EF4-FFF2-40B4-BE49-F238E27FC236}">
                  <a16:creationId xmlns:a16="http://schemas.microsoft.com/office/drawing/2014/main" id="{62645F0D-34A5-4463-935D-B7737922E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280DAF">
        <w:t xml:space="preserve"> </w:t>
      </w:r>
    </w:p>
    <w:p w14:paraId="5018F765" w14:textId="3446700B" w:rsidR="00EB790B" w:rsidRPr="00280DAF" w:rsidRDefault="00EB790B" w:rsidP="00EB790B">
      <w:pPr>
        <w:pStyle w:val="Heading2"/>
      </w:pPr>
      <w:bookmarkStart w:id="55" w:name="_Toc191539017"/>
      <w:r w:rsidRPr="00280DAF">
        <w:t>State and territory breakdown of the pipeline</w:t>
      </w:r>
      <w:bookmarkEnd w:id="50"/>
      <w:bookmarkEnd w:id="51"/>
      <w:bookmarkEnd w:id="52"/>
      <w:bookmarkEnd w:id="53"/>
      <w:bookmarkEnd w:id="54"/>
      <w:bookmarkEnd w:id="55"/>
    </w:p>
    <w:p w14:paraId="4124F473" w14:textId="5A090BBD" w:rsidR="00EB790B" w:rsidRPr="00280DAF" w:rsidRDefault="00EB790B" w:rsidP="00EB790B">
      <w:r w:rsidRPr="00280DAF">
        <w:t>The visitor economy in each jurisdiction varies quite significantly both in terms of its overall size and make</w:t>
      </w:r>
      <w:r w:rsidR="0039522C">
        <w:t>–</w:t>
      </w:r>
      <w:r w:rsidRPr="00280DAF">
        <w:t xml:space="preserve">up of travellers, which is reflected in the pipeline (Figure 4). </w:t>
      </w:r>
    </w:p>
    <w:p w14:paraId="41C2B9EB" w14:textId="186F2CC1" w:rsidR="00EB790B" w:rsidRPr="00280DAF" w:rsidRDefault="00EB790B" w:rsidP="00EB790B">
      <w:pPr>
        <w:pStyle w:val="Caption"/>
        <w:keepNext/>
        <w:spacing w:before="480" w:after="0" w:line="300" w:lineRule="atLeast"/>
        <w:rPr>
          <w:i w:val="0"/>
          <w:iCs w:val="0"/>
          <w:sz w:val="20"/>
          <w:szCs w:val="20"/>
        </w:rPr>
      </w:pPr>
      <w:r w:rsidRPr="00280DAF">
        <w:rPr>
          <w:rFonts w:ascii="Verdana" w:eastAsia="Verdana" w:hAnsi="Verdana" w:cs="Times New Roman"/>
          <w:b/>
          <w:bCs/>
          <w:i w:val="0"/>
          <w:iCs w:val="0"/>
          <w:lang w:eastAsia="en-US"/>
        </w:rPr>
        <w:t>Figure 4</w:t>
      </w:r>
      <w:r w:rsidRPr="00280DAF">
        <w:rPr>
          <w:rFonts w:ascii="Verdana" w:eastAsia="Verdana" w:hAnsi="Verdana" w:cs="Times New Roman"/>
          <w:b/>
          <w:bCs/>
          <w:i w:val="0"/>
          <w:iCs w:val="0"/>
          <w:sz w:val="20"/>
          <w:szCs w:val="20"/>
          <w:lang w:eastAsia="en-US"/>
        </w:rPr>
        <w:t>:</w:t>
      </w:r>
      <w:r w:rsidRPr="00280DAF">
        <w:rPr>
          <w:rFonts w:ascii="Verdana" w:eastAsia="Verdana" w:hAnsi="Verdana" w:cs="Times New Roman"/>
          <w:sz w:val="20"/>
          <w:szCs w:val="20"/>
          <w:lang w:eastAsia="en-US"/>
        </w:rPr>
        <w:t xml:space="preserve"> </w:t>
      </w:r>
      <w:r w:rsidRPr="00280DAF">
        <w:rPr>
          <w:i w:val="0"/>
          <w:iCs w:val="0"/>
          <w:sz w:val="20"/>
          <w:szCs w:val="20"/>
        </w:rPr>
        <w:t>Tourism investment pipeline by state and sector, 202</w:t>
      </w:r>
      <w:r w:rsidR="00E067F0" w:rsidRPr="00280DAF">
        <w:rPr>
          <w:i w:val="0"/>
          <w:iCs w:val="0"/>
          <w:sz w:val="20"/>
          <w:szCs w:val="20"/>
        </w:rPr>
        <w:t>3</w:t>
      </w:r>
      <w:r w:rsidRPr="00280DAF">
        <w:rPr>
          <w:i w:val="0"/>
          <w:iCs w:val="0"/>
          <w:sz w:val="20"/>
          <w:szCs w:val="20"/>
        </w:rPr>
        <w:t>–2</w:t>
      </w:r>
      <w:r w:rsidR="00E067F0" w:rsidRPr="00280DAF">
        <w:rPr>
          <w:i w:val="0"/>
          <w:iCs w:val="0"/>
          <w:sz w:val="20"/>
          <w:szCs w:val="20"/>
        </w:rPr>
        <w:t>4</w:t>
      </w:r>
      <w:r w:rsidRPr="00280DAF">
        <w:rPr>
          <w:i w:val="0"/>
          <w:iCs w:val="0"/>
          <w:sz w:val="20"/>
          <w:szCs w:val="20"/>
        </w:rPr>
        <w:t>.</w:t>
      </w:r>
    </w:p>
    <w:p w14:paraId="42C87763" w14:textId="36442B28" w:rsidR="00440FC5" w:rsidRPr="00440FC5" w:rsidRDefault="00C52C61" w:rsidP="00440FC5">
      <w:pPr>
        <w:spacing w:after="160" w:line="259" w:lineRule="auto"/>
        <w:rPr>
          <w:highlight w:val="yellow"/>
          <w:lang w:eastAsia="zh-CN"/>
        </w:rPr>
      </w:pPr>
      <w:r>
        <w:rPr>
          <w:noProof/>
        </w:rPr>
        <w:drawing>
          <wp:inline distT="0" distB="0" distL="0" distR="0" wp14:anchorId="2198A502" wp14:editId="2339C52A">
            <wp:extent cx="6329680" cy="3600450"/>
            <wp:effectExtent l="0" t="0" r="13970" b="0"/>
            <wp:docPr id="624513770" name="Chart 1" descr="Figure 4 shows the value of the tourism investment pipeline for 2023-24 by state and by sector. New South Wales has the largest pipeline by value ($16.3 billion) and half of this is in the arts, recreation and business services sector ($7.6 billion). The pipeline of investment in Victoria (due to the large aviation pipeline) and Queensland is also much larger than for the other states and territories.&#10;">
              <a:extLst xmlns:a="http://schemas.openxmlformats.org/drawingml/2006/main">
                <a:ext uri="{FF2B5EF4-FFF2-40B4-BE49-F238E27FC236}">
                  <a16:creationId xmlns:a16="http://schemas.microsoft.com/office/drawing/2014/main" id="{2C644DCD-0FD8-4CAC-AA12-F626E9E9C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6BD977F" w14:textId="77777777" w:rsidR="00EB790B" w:rsidRPr="00DF59FB" w:rsidRDefault="00EB790B" w:rsidP="005F2ABB">
      <w:pPr>
        <w:pStyle w:val="Heading3"/>
        <w:keepNext/>
      </w:pPr>
      <w:bookmarkStart w:id="56" w:name="_Toc188024223"/>
      <w:bookmarkStart w:id="57" w:name="_Toc189145257"/>
      <w:bookmarkStart w:id="58" w:name="_Toc190084760"/>
      <w:r w:rsidRPr="00DF59FB">
        <w:lastRenderedPageBreak/>
        <w:t>New South Wales</w:t>
      </w:r>
      <w:bookmarkEnd w:id="56"/>
      <w:bookmarkEnd w:id="57"/>
      <w:bookmarkEnd w:id="58"/>
    </w:p>
    <w:p w14:paraId="32698C80" w14:textId="28B320BA" w:rsidR="00EB790B" w:rsidRPr="00DF59FB" w:rsidRDefault="00EB790B" w:rsidP="008A0A90">
      <w:pPr>
        <w:pStyle w:val="BulletList"/>
        <w:rPr>
          <w:rFonts w:eastAsia="Calibri" w:cs="Calibri"/>
        </w:rPr>
      </w:pPr>
      <w:r w:rsidRPr="00DF59FB">
        <w:t xml:space="preserve">The </w:t>
      </w:r>
      <w:r w:rsidR="00F350B2">
        <w:t>2023–24</w:t>
      </w:r>
      <w:r w:rsidRPr="00DF59FB">
        <w:t xml:space="preserve"> pipeline of tourism investment in New South Wales included </w:t>
      </w:r>
      <w:r w:rsidR="00232B1F" w:rsidRPr="00DF59FB">
        <w:t>9</w:t>
      </w:r>
      <w:r w:rsidR="0009067C" w:rsidRPr="00DF59FB">
        <w:t>4</w:t>
      </w:r>
      <w:r w:rsidRPr="00DF59FB">
        <w:t xml:space="preserve"> projects, valued at $</w:t>
      </w:r>
      <w:r w:rsidR="0009067C" w:rsidRPr="00DF59FB">
        <w:t>16.3</w:t>
      </w:r>
      <w:r w:rsidRPr="00DF59FB">
        <w:t xml:space="preserve"> billion. The New South Wales pipeline accounted for </w:t>
      </w:r>
      <w:r w:rsidR="00B37687" w:rsidRPr="00DF59FB">
        <w:t>27</w:t>
      </w:r>
      <w:r w:rsidR="005E12DF">
        <w:t>%</w:t>
      </w:r>
      <w:r w:rsidRPr="00DF59FB">
        <w:t xml:space="preserve"> of the total tourism investment projects</w:t>
      </w:r>
      <w:r w:rsidR="00B557FE">
        <w:t xml:space="preserve"> nationally</w:t>
      </w:r>
      <w:r w:rsidRPr="00DF59FB">
        <w:t xml:space="preserve">, </w:t>
      </w:r>
      <w:r w:rsidR="00B37687" w:rsidRPr="00DF59FB">
        <w:t>and 2</w:t>
      </w:r>
      <w:r w:rsidR="00E422D4" w:rsidRPr="00DF59FB">
        <w:t>6</w:t>
      </w:r>
      <w:r w:rsidR="005E12DF">
        <w:t>%</w:t>
      </w:r>
      <w:r w:rsidR="00B37687" w:rsidRPr="00DF59FB">
        <w:t xml:space="preserve"> of the </w:t>
      </w:r>
      <w:r w:rsidR="007D3713" w:rsidRPr="00DF59FB">
        <w:t>financial investment for 2023</w:t>
      </w:r>
      <w:r w:rsidR="0039522C">
        <w:t>–</w:t>
      </w:r>
      <w:r w:rsidR="00131B60" w:rsidRPr="00DF59FB">
        <w:t>2</w:t>
      </w:r>
      <w:r w:rsidR="007D3713" w:rsidRPr="00DF59FB">
        <w:t xml:space="preserve">4. This is </w:t>
      </w:r>
      <w:r w:rsidRPr="00DF59FB">
        <w:t>the largest share of any state or territory</w:t>
      </w:r>
      <w:r w:rsidR="007D3713" w:rsidRPr="00DF59FB">
        <w:t xml:space="preserve"> for </w:t>
      </w:r>
      <w:r w:rsidR="00016390">
        <w:t>overall</w:t>
      </w:r>
      <w:r w:rsidR="007D3713" w:rsidRPr="00DF59FB">
        <w:t xml:space="preserve"> number of projects and project value</w:t>
      </w:r>
      <w:r w:rsidRPr="00DF59FB">
        <w:rPr>
          <w:rFonts w:eastAsia="Calibri" w:cs="Calibri"/>
        </w:rPr>
        <w:t xml:space="preserve">. </w:t>
      </w:r>
    </w:p>
    <w:p w14:paraId="163FC82B" w14:textId="05C40A61" w:rsidR="00EB790B" w:rsidRPr="00DF59FB" w:rsidRDefault="00EB790B" w:rsidP="008A0A90">
      <w:pPr>
        <w:pStyle w:val="BulletList"/>
        <w:rPr>
          <w:rFonts w:eastAsia="Calibri" w:cs="Calibri"/>
        </w:rPr>
      </w:pPr>
      <w:r w:rsidRPr="00DF59FB">
        <w:rPr>
          <w:rFonts w:eastAsia="Calibri" w:cs="Calibri"/>
        </w:rPr>
        <w:t>Investment in the aviation sector totalled $5.</w:t>
      </w:r>
      <w:r w:rsidR="00417CE4" w:rsidRPr="00DF59FB">
        <w:rPr>
          <w:rFonts w:eastAsia="Calibri" w:cs="Calibri"/>
        </w:rPr>
        <w:t>8</w:t>
      </w:r>
      <w:r w:rsidRPr="00DF59FB">
        <w:rPr>
          <w:rFonts w:eastAsia="Calibri" w:cs="Calibri"/>
        </w:rPr>
        <w:t xml:space="preserve"> billion, the main contribution being from the Western Sydney International Airport at Badgerys Creek.</w:t>
      </w:r>
    </w:p>
    <w:p w14:paraId="00EBF5FF" w14:textId="77E56454" w:rsidR="00A25B62" w:rsidRPr="00A25B62" w:rsidRDefault="00EB790B">
      <w:pPr>
        <w:pStyle w:val="BulletList"/>
        <w:rPr>
          <w:rFonts w:eastAsia="Calibri" w:cs="Calibri"/>
        </w:rPr>
      </w:pPr>
      <w:r w:rsidRPr="00A25B62">
        <w:rPr>
          <w:rFonts w:eastAsia="Calibri" w:cs="Calibri"/>
        </w:rPr>
        <w:t>Investment in the arts, recreation, and business services sector totalled $</w:t>
      </w:r>
      <w:r w:rsidR="00DF59FB" w:rsidRPr="00A25B62">
        <w:rPr>
          <w:rFonts w:eastAsia="Calibri" w:cs="Calibri"/>
        </w:rPr>
        <w:t>7.6</w:t>
      </w:r>
      <w:r w:rsidRPr="00A25B62">
        <w:rPr>
          <w:rFonts w:eastAsia="Calibri" w:cs="Calibri"/>
        </w:rPr>
        <w:t xml:space="preserve"> billion, with </w:t>
      </w:r>
      <w:r w:rsidRPr="00A25B62" w:rsidDel="00A25B62">
        <w:rPr>
          <w:rFonts w:eastAsia="Calibri" w:cs="Calibri"/>
        </w:rPr>
        <w:t xml:space="preserve">the </w:t>
      </w:r>
      <w:r w:rsidR="00A25B62" w:rsidRPr="00A25B62">
        <w:rPr>
          <w:rFonts w:eastAsia="Calibri" w:cs="Calibri"/>
        </w:rPr>
        <w:t>Moore Park Entertainment Quarter Development, new Powerhouse Museum, new Sydney Fish Market and Barangaroo Precinct Transformations the largest contributors and all based in Sydney.</w:t>
      </w:r>
    </w:p>
    <w:p w14:paraId="1210894C" w14:textId="742F17A0" w:rsidR="00EB790B" w:rsidRPr="000F7A11" w:rsidRDefault="00EB790B" w:rsidP="008A0A90">
      <w:pPr>
        <w:pStyle w:val="BulletList"/>
        <w:rPr>
          <w:rFonts w:eastAsia="Calibri" w:cs="Calibri"/>
        </w:rPr>
      </w:pPr>
      <w:r w:rsidRPr="000F7A11">
        <w:rPr>
          <w:rFonts w:eastAsia="Calibri" w:cs="Calibri"/>
        </w:rPr>
        <w:t>Investment in the standalone accommodation sector totalled $</w:t>
      </w:r>
      <w:r w:rsidR="005E5ABB" w:rsidRPr="000F7A11">
        <w:rPr>
          <w:rFonts w:eastAsia="Calibri" w:cs="Calibri"/>
        </w:rPr>
        <w:t>2.9</w:t>
      </w:r>
      <w:r w:rsidRPr="000F7A11">
        <w:rPr>
          <w:rFonts w:eastAsia="Calibri" w:cs="Calibri"/>
        </w:rPr>
        <w:t xml:space="preserve"> billion (down from $</w:t>
      </w:r>
      <w:r w:rsidR="004D1320" w:rsidRPr="000F7A11">
        <w:rPr>
          <w:rFonts w:eastAsia="Calibri" w:cs="Calibri"/>
        </w:rPr>
        <w:t>3.4</w:t>
      </w:r>
      <w:r w:rsidRPr="000F7A11">
        <w:rPr>
          <w:rFonts w:eastAsia="Calibri" w:cs="Calibri"/>
        </w:rPr>
        <w:t> billion in 202</w:t>
      </w:r>
      <w:r w:rsidR="004D1320" w:rsidRPr="000F7A11">
        <w:rPr>
          <w:rFonts w:eastAsia="Calibri" w:cs="Calibri"/>
        </w:rPr>
        <w:t>2</w:t>
      </w:r>
      <w:r w:rsidR="0039522C">
        <w:rPr>
          <w:rFonts w:eastAsia="Calibri" w:cs="Calibri"/>
        </w:rPr>
        <w:t>–</w:t>
      </w:r>
      <w:r w:rsidRPr="000F7A11">
        <w:rPr>
          <w:rFonts w:eastAsia="Calibri" w:cs="Calibri"/>
        </w:rPr>
        <w:t>2</w:t>
      </w:r>
      <w:r w:rsidR="004D1320" w:rsidRPr="000F7A11">
        <w:rPr>
          <w:rFonts w:eastAsia="Calibri" w:cs="Calibri"/>
        </w:rPr>
        <w:t>3</w:t>
      </w:r>
      <w:r w:rsidRPr="000F7A11">
        <w:rPr>
          <w:rFonts w:eastAsia="Calibri" w:cs="Calibri"/>
        </w:rPr>
        <w:t>)</w:t>
      </w:r>
      <w:r w:rsidR="006C7CB7" w:rsidRPr="000F7A11">
        <w:rPr>
          <w:rFonts w:eastAsia="Calibri" w:cs="Calibri"/>
        </w:rPr>
        <w:t xml:space="preserve"> with </w:t>
      </w:r>
      <w:r w:rsidR="001735ED">
        <w:rPr>
          <w:rFonts w:eastAsia="Calibri" w:cs="Calibri"/>
        </w:rPr>
        <w:t>several project</w:t>
      </w:r>
      <w:r w:rsidR="00032897">
        <w:rPr>
          <w:rFonts w:eastAsia="Calibri" w:cs="Calibri"/>
        </w:rPr>
        <w:t>s</w:t>
      </w:r>
      <w:r w:rsidR="006C7CB7" w:rsidRPr="000F7A11">
        <w:rPr>
          <w:rFonts w:eastAsia="Calibri" w:cs="Calibri"/>
        </w:rPr>
        <w:t xml:space="preserve"> completed in 2023</w:t>
      </w:r>
      <w:r w:rsidR="0039522C">
        <w:rPr>
          <w:rFonts w:eastAsia="Calibri" w:cs="Calibri"/>
        </w:rPr>
        <w:t>–</w:t>
      </w:r>
      <w:r w:rsidR="006C7CB7" w:rsidRPr="000F7A11">
        <w:rPr>
          <w:rFonts w:eastAsia="Calibri" w:cs="Calibri"/>
        </w:rPr>
        <w:t>24</w:t>
      </w:r>
      <w:r w:rsidRPr="000F7A11">
        <w:rPr>
          <w:rFonts w:eastAsia="Calibri" w:cs="Calibri"/>
        </w:rPr>
        <w:t>.</w:t>
      </w:r>
    </w:p>
    <w:p w14:paraId="218067FC" w14:textId="7844665C" w:rsidR="00EB790B" w:rsidRPr="000F7A11" w:rsidRDefault="00EB790B" w:rsidP="008A0A90">
      <w:pPr>
        <w:pStyle w:val="BulletList"/>
        <w:rPr>
          <w:rFonts w:eastAsia="Calibri" w:cs="Calibri"/>
        </w:rPr>
      </w:pPr>
      <w:r w:rsidRPr="000F7A11">
        <w:rPr>
          <w:rFonts w:eastAsia="Calibri" w:cs="Calibri"/>
        </w:rPr>
        <w:t>Capital city investment was $</w:t>
      </w:r>
      <w:r w:rsidR="001B27C4" w:rsidRPr="000F7A11">
        <w:rPr>
          <w:rFonts w:eastAsia="Calibri" w:cs="Calibri"/>
        </w:rPr>
        <w:t>15</w:t>
      </w:r>
      <w:r w:rsidRPr="000F7A11">
        <w:rPr>
          <w:rFonts w:eastAsia="Calibri" w:cs="Calibri"/>
        </w:rPr>
        <w:t xml:space="preserve"> billion</w:t>
      </w:r>
      <w:r w:rsidR="00F144AB" w:rsidRPr="000F7A11">
        <w:rPr>
          <w:rFonts w:eastAsia="Calibri" w:cs="Calibri"/>
        </w:rPr>
        <w:t xml:space="preserve"> (</w:t>
      </w:r>
      <w:r w:rsidR="00101E67" w:rsidRPr="000F7A11">
        <w:rPr>
          <w:rFonts w:eastAsia="Calibri" w:cs="Calibri"/>
        </w:rPr>
        <w:t>up</w:t>
      </w:r>
      <w:r w:rsidR="00CA60F3" w:rsidRPr="000F7A11">
        <w:rPr>
          <w:rFonts w:eastAsia="Calibri" w:cs="Calibri"/>
        </w:rPr>
        <w:t xml:space="preserve"> from $13 billion in 202</w:t>
      </w:r>
      <w:r w:rsidR="00F144AB" w:rsidRPr="000F7A11">
        <w:rPr>
          <w:rFonts w:eastAsia="Calibri" w:cs="Calibri"/>
        </w:rPr>
        <w:t>2</w:t>
      </w:r>
      <w:r w:rsidR="0039522C">
        <w:rPr>
          <w:rFonts w:eastAsia="Calibri" w:cs="Calibri"/>
        </w:rPr>
        <w:t>–</w:t>
      </w:r>
      <w:r w:rsidR="00CA60F3" w:rsidRPr="000F7A11">
        <w:rPr>
          <w:rFonts w:eastAsia="Calibri" w:cs="Calibri"/>
        </w:rPr>
        <w:t>2</w:t>
      </w:r>
      <w:r w:rsidR="00F144AB" w:rsidRPr="000F7A11">
        <w:rPr>
          <w:rFonts w:eastAsia="Calibri" w:cs="Calibri"/>
        </w:rPr>
        <w:t>3</w:t>
      </w:r>
      <w:r w:rsidR="00F144AB" w:rsidRPr="00735F6C">
        <w:rPr>
          <w:rFonts w:eastAsia="Calibri" w:cs="Calibri"/>
        </w:rPr>
        <w:t>)</w:t>
      </w:r>
      <w:r w:rsidR="00735F6C" w:rsidRPr="00735F6C">
        <w:rPr>
          <w:rFonts w:eastAsia="Calibri" w:cs="Calibri"/>
        </w:rPr>
        <w:t xml:space="preserve">, while </w:t>
      </w:r>
      <w:r w:rsidR="009E0295" w:rsidRPr="000F7A11">
        <w:rPr>
          <w:rFonts w:eastAsia="Calibri" w:cs="Calibri"/>
        </w:rPr>
        <w:t>regional</w:t>
      </w:r>
      <w:r w:rsidRPr="000F7A11">
        <w:rPr>
          <w:rFonts w:eastAsia="Calibri" w:cs="Calibri"/>
        </w:rPr>
        <w:t xml:space="preserve"> investment was $</w:t>
      </w:r>
      <w:r w:rsidR="00101E67" w:rsidRPr="000F7A11">
        <w:rPr>
          <w:rFonts w:eastAsia="Calibri" w:cs="Calibri"/>
        </w:rPr>
        <w:t>1.2</w:t>
      </w:r>
      <w:r w:rsidR="00F144AB" w:rsidRPr="000F7A11">
        <w:rPr>
          <w:rFonts w:eastAsia="Calibri" w:cs="Calibri"/>
        </w:rPr>
        <w:t xml:space="preserve"> </w:t>
      </w:r>
      <w:r w:rsidR="000F7A11" w:rsidRPr="000F7A11">
        <w:rPr>
          <w:rFonts w:eastAsia="Calibri" w:cs="Calibri"/>
        </w:rPr>
        <w:t>b</w:t>
      </w:r>
      <w:r w:rsidRPr="000F7A11">
        <w:rPr>
          <w:rFonts w:eastAsia="Calibri" w:cs="Calibri"/>
        </w:rPr>
        <w:t>illion (</w:t>
      </w:r>
      <w:r w:rsidR="00F144AB" w:rsidRPr="000F7A11">
        <w:rPr>
          <w:rFonts w:eastAsia="Calibri" w:cs="Calibri"/>
        </w:rPr>
        <w:t>down</w:t>
      </w:r>
      <w:r w:rsidRPr="000F7A11">
        <w:rPr>
          <w:rFonts w:eastAsia="Calibri" w:cs="Calibri"/>
        </w:rPr>
        <w:t xml:space="preserve"> from $1.</w:t>
      </w:r>
      <w:r w:rsidR="00F144AB" w:rsidRPr="000F7A11">
        <w:rPr>
          <w:rFonts w:eastAsia="Calibri" w:cs="Calibri"/>
        </w:rPr>
        <w:t>4</w:t>
      </w:r>
      <w:r w:rsidRPr="000F7A11">
        <w:rPr>
          <w:rFonts w:eastAsia="Calibri" w:cs="Calibri"/>
        </w:rPr>
        <w:t xml:space="preserve"> billion in 202</w:t>
      </w:r>
      <w:r w:rsidR="00F144AB" w:rsidRPr="000F7A11">
        <w:rPr>
          <w:rFonts w:eastAsia="Calibri" w:cs="Calibri"/>
        </w:rPr>
        <w:t>2</w:t>
      </w:r>
      <w:r w:rsidR="0039522C">
        <w:rPr>
          <w:rFonts w:eastAsia="Calibri" w:cs="Calibri"/>
        </w:rPr>
        <w:t>–</w:t>
      </w:r>
      <w:r w:rsidRPr="000F7A11">
        <w:rPr>
          <w:rFonts w:eastAsia="Calibri" w:cs="Calibri"/>
        </w:rPr>
        <w:t>2</w:t>
      </w:r>
      <w:r w:rsidR="00F144AB" w:rsidRPr="000F7A11">
        <w:rPr>
          <w:rFonts w:eastAsia="Calibri" w:cs="Calibri"/>
        </w:rPr>
        <w:t>3</w:t>
      </w:r>
      <w:r w:rsidRPr="000F7A11">
        <w:rPr>
          <w:rFonts w:eastAsia="Calibri" w:cs="Calibri"/>
        </w:rPr>
        <w:t>).</w:t>
      </w:r>
    </w:p>
    <w:p w14:paraId="5621F8BA" w14:textId="77777777" w:rsidR="00EB790B" w:rsidRPr="00434F8C" w:rsidRDefault="00EB790B" w:rsidP="005F2ABB">
      <w:pPr>
        <w:pStyle w:val="Heading3"/>
      </w:pPr>
      <w:bookmarkStart w:id="59" w:name="_Toc188024224"/>
      <w:bookmarkStart w:id="60" w:name="_Toc189145258"/>
      <w:bookmarkStart w:id="61" w:name="_Toc190084761"/>
      <w:r w:rsidRPr="005F2ABB">
        <w:t>Victoria</w:t>
      </w:r>
      <w:bookmarkEnd w:id="59"/>
      <w:bookmarkEnd w:id="60"/>
      <w:bookmarkEnd w:id="61"/>
    </w:p>
    <w:p w14:paraId="704FCAAA" w14:textId="7225A48F" w:rsidR="00EB790B" w:rsidRPr="00434F8C" w:rsidRDefault="00EB790B" w:rsidP="008A0A90">
      <w:pPr>
        <w:pStyle w:val="BulletList"/>
      </w:pPr>
      <w:r w:rsidRPr="00434F8C">
        <w:t>There were 4</w:t>
      </w:r>
      <w:r w:rsidR="003E19C0" w:rsidRPr="00434F8C">
        <w:t>8</w:t>
      </w:r>
      <w:r w:rsidRPr="00434F8C">
        <w:t xml:space="preserve"> projects in the tourism investment pipeline in Victoria. These were valued at $1</w:t>
      </w:r>
      <w:r w:rsidR="00415530" w:rsidRPr="00434F8C">
        <w:t>6</w:t>
      </w:r>
      <w:r w:rsidR="00431834">
        <w:t> </w:t>
      </w:r>
      <w:r w:rsidRPr="00434F8C">
        <w:t>billion</w:t>
      </w:r>
      <w:r w:rsidR="00735F6C">
        <w:t>,</w:t>
      </w:r>
      <w:r w:rsidRPr="00434F8C">
        <w:t xml:space="preserve"> making Victoria the </w:t>
      </w:r>
      <w:r w:rsidR="00415530" w:rsidRPr="00434F8C">
        <w:t xml:space="preserve">second </w:t>
      </w:r>
      <w:r w:rsidRPr="00434F8C">
        <w:t xml:space="preserve">largest contributor to the total value of the tourism investment pipeline in </w:t>
      </w:r>
      <w:r w:rsidR="007E3F7A" w:rsidRPr="00434F8C">
        <w:t>2023</w:t>
      </w:r>
      <w:r w:rsidR="0039522C">
        <w:t>–</w:t>
      </w:r>
      <w:r w:rsidR="007E3F7A" w:rsidRPr="00434F8C">
        <w:t>24</w:t>
      </w:r>
      <w:r w:rsidRPr="00434F8C">
        <w:t xml:space="preserve">. </w:t>
      </w:r>
    </w:p>
    <w:p w14:paraId="401EC675" w14:textId="77777777" w:rsidR="00EB790B" w:rsidRPr="00434F8C" w:rsidRDefault="00EB790B" w:rsidP="008A0A90">
      <w:pPr>
        <w:pStyle w:val="BulletList"/>
        <w:rPr>
          <w:rFonts w:asciiTheme="majorHAnsi" w:eastAsia="Calibri" w:hAnsiTheme="majorHAnsi" w:cs="Calibri"/>
        </w:rPr>
      </w:pPr>
      <w:r w:rsidRPr="00434F8C">
        <w:rPr>
          <w:rFonts w:asciiTheme="majorHAnsi" w:eastAsia="Calibri" w:hAnsiTheme="majorHAnsi" w:cs="Calibri"/>
        </w:rPr>
        <w:t xml:space="preserve">Investment in the aviation sector totalled $9.4 billion, </w:t>
      </w:r>
      <w:r w:rsidRPr="00434F8C">
        <w:t>with a major contribution from the proposed Koo Wee Rup privately owned airport worth $7.0 billion.</w:t>
      </w:r>
    </w:p>
    <w:p w14:paraId="77B04327" w14:textId="426A2A42" w:rsidR="00EB790B" w:rsidRPr="00434F8C" w:rsidRDefault="00EB790B" w:rsidP="008A0A90">
      <w:pPr>
        <w:pStyle w:val="BulletList"/>
        <w:rPr>
          <w:rFonts w:asciiTheme="majorHAnsi" w:eastAsia="Calibri" w:hAnsiTheme="majorHAnsi" w:cs="Calibri"/>
        </w:rPr>
      </w:pPr>
      <w:r w:rsidRPr="00434F8C">
        <w:rPr>
          <w:rFonts w:asciiTheme="majorHAnsi" w:eastAsia="Calibri" w:hAnsiTheme="majorHAnsi" w:cs="Calibri"/>
        </w:rPr>
        <w:t>Investment in the arts, recreation, and business services sector totalled $4 billion, with the Melbourne Arts Precinct Redevelopment contributing $1.7 billion of this investment.</w:t>
      </w:r>
    </w:p>
    <w:p w14:paraId="69CD9DBC" w14:textId="58456704" w:rsidR="00F06FF0" w:rsidRDefault="00EB790B" w:rsidP="00784362">
      <w:pPr>
        <w:pStyle w:val="BulletList"/>
      </w:pPr>
      <w:r w:rsidRPr="00C12F4F">
        <w:t>Investment in the standalone accommodation sector totalled $2.</w:t>
      </w:r>
      <w:r w:rsidR="00CA5433" w:rsidRPr="00C12F4F">
        <w:t>6</w:t>
      </w:r>
      <w:r w:rsidRPr="00C12F4F">
        <w:t xml:space="preserve"> billion</w:t>
      </w:r>
      <w:r w:rsidR="00CA5433" w:rsidRPr="00C12F4F">
        <w:t xml:space="preserve">. </w:t>
      </w:r>
      <w:r w:rsidR="008F5772" w:rsidRPr="00C12F4F">
        <w:t>This covered 29 hotels in the state’s pipeline, which are expected to add 4,000 rooms to accommodation supply in the state. 10 of these projects were under construction in 2023</w:t>
      </w:r>
      <w:r w:rsidR="0039522C">
        <w:t>–</w:t>
      </w:r>
      <w:r w:rsidR="008F5772" w:rsidRPr="00C12F4F">
        <w:t>24.</w:t>
      </w:r>
    </w:p>
    <w:p w14:paraId="7F7A295F" w14:textId="369D0899" w:rsidR="00EB790B" w:rsidRPr="00434F8C" w:rsidRDefault="00EB790B" w:rsidP="00784362">
      <w:pPr>
        <w:pStyle w:val="BulletList"/>
      </w:pPr>
      <w:r w:rsidRPr="00C12F4F">
        <w:t>Capital city investment was $</w:t>
      </w:r>
      <w:r w:rsidR="00F6641E" w:rsidRPr="00C12F4F">
        <w:t>6.</w:t>
      </w:r>
      <w:r w:rsidR="004004AD" w:rsidRPr="00C12F4F">
        <w:t>8</w:t>
      </w:r>
      <w:r w:rsidRPr="00C12F4F">
        <w:t xml:space="preserve"> billion, </w:t>
      </w:r>
      <w:r w:rsidR="00BF65C6" w:rsidRPr="00C12F4F">
        <w:t>down</w:t>
      </w:r>
      <w:r w:rsidR="00F6641E" w:rsidRPr="00C12F4F">
        <w:t xml:space="preserve"> from $7.0 </w:t>
      </w:r>
      <w:r w:rsidRPr="00C12F4F">
        <w:t>billion in 202</w:t>
      </w:r>
      <w:r w:rsidR="00F6641E" w:rsidRPr="00C12F4F">
        <w:t>2</w:t>
      </w:r>
      <w:r w:rsidR="0039522C">
        <w:t>–</w:t>
      </w:r>
      <w:r w:rsidRPr="00C12F4F">
        <w:t>2</w:t>
      </w:r>
      <w:r w:rsidR="00F6641E" w:rsidRPr="00C12F4F">
        <w:t>3</w:t>
      </w:r>
      <w:r w:rsidR="001E3186" w:rsidRPr="00C12F4F">
        <w:t>, while</w:t>
      </w:r>
      <w:r w:rsidR="00784362">
        <w:t xml:space="preserve"> </w:t>
      </w:r>
      <w:r w:rsidR="00465F0B">
        <w:t>r</w:t>
      </w:r>
      <w:r w:rsidRPr="00434F8C">
        <w:t>egional investment was $</w:t>
      </w:r>
      <w:r w:rsidR="00CF2FDA" w:rsidRPr="00434F8C">
        <w:t>9</w:t>
      </w:r>
      <w:r w:rsidR="004004AD" w:rsidRPr="00434F8C">
        <w:t>.2</w:t>
      </w:r>
      <w:r w:rsidRPr="00434F8C">
        <w:t xml:space="preserve"> billion, up from $</w:t>
      </w:r>
      <w:r w:rsidR="00F6641E" w:rsidRPr="00434F8C">
        <w:t>8.7</w:t>
      </w:r>
      <w:r w:rsidRPr="00434F8C">
        <w:t xml:space="preserve"> billion in </w:t>
      </w:r>
      <w:r w:rsidR="00F6641E" w:rsidRPr="00C12F4F">
        <w:t>2022</w:t>
      </w:r>
      <w:r w:rsidR="0039522C">
        <w:t>–</w:t>
      </w:r>
      <w:r w:rsidR="00F6641E" w:rsidRPr="00C12F4F">
        <w:t>23</w:t>
      </w:r>
      <w:r w:rsidRPr="00434F8C" w:rsidDel="00DD4676">
        <w:t>.</w:t>
      </w:r>
    </w:p>
    <w:p w14:paraId="0C921162" w14:textId="77777777" w:rsidR="00EB790B" w:rsidRPr="004F6C09" w:rsidRDefault="00EB790B" w:rsidP="00EB790B">
      <w:pPr>
        <w:pStyle w:val="Heading3"/>
      </w:pPr>
      <w:bookmarkStart w:id="62" w:name="_Toc188024225"/>
      <w:bookmarkStart w:id="63" w:name="_Toc189145259"/>
      <w:bookmarkStart w:id="64" w:name="_Toc190084762"/>
      <w:r w:rsidRPr="004F6C09">
        <w:t>Queensland</w:t>
      </w:r>
      <w:bookmarkEnd w:id="62"/>
      <w:bookmarkEnd w:id="63"/>
      <w:bookmarkEnd w:id="64"/>
    </w:p>
    <w:p w14:paraId="5AB1976B" w14:textId="0B363DD0" w:rsidR="00EB790B" w:rsidRPr="004F6C09" w:rsidRDefault="00EB790B" w:rsidP="00DD4810">
      <w:pPr>
        <w:pStyle w:val="BulletList"/>
      </w:pPr>
      <w:r w:rsidRPr="004F6C09">
        <w:t xml:space="preserve">Queensland had </w:t>
      </w:r>
      <w:r w:rsidR="001D19BF" w:rsidRPr="004F6C09">
        <w:t>5</w:t>
      </w:r>
      <w:r w:rsidR="004F6C09" w:rsidRPr="004F6C09">
        <w:t>8</w:t>
      </w:r>
      <w:r w:rsidRPr="004F6C09">
        <w:t xml:space="preserve"> projects valued at $1</w:t>
      </w:r>
      <w:r w:rsidR="001D19BF" w:rsidRPr="004F6C09">
        <w:t>2</w:t>
      </w:r>
      <w:r w:rsidRPr="004F6C09">
        <w:t>.</w:t>
      </w:r>
      <w:r w:rsidR="003F0492" w:rsidRPr="004F6C09">
        <w:t>4</w:t>
      </w:r>
      <w:r w:rsidRPr="004F6C09">
        <w:t xml:space="preserve"> billion</w:t>
      </w:r>
      <w:r w:rsidR="001D19BF" w:rsidRPr="004F6C09">
        <w:t xml:space="preserve"> </w:t>
      </w:r>
      <w:r w:rsidR="00951666">
        <w:t xml:space="preserve">in the </w:t>
      </w:r>
      <w:r w:rsidR="00951666" w:rsidRPr="00434F8C">
        <w:t>tourism investment pipeline in 2023</w:t>
      </w:r>
      <w:r w:rsidR="0039522C">
        <w:t>–</w:t>
      </w:r>
      <w:r w:rsidR="00951666" w:rsidRPr="00434F8C">
        <w:t>24</w:t>
      </w:r>
      <w:r w:rsidR="001B29A5">
        <w:t>.</w:t>
      </w:r>
    </w:p>
    <w:p w14:paraId="6A0AD443" w14:textId="6ABE5E95" w:rsidR="00EB790B" w:rsidRPr="004F6C09" w:rsidRDefault="00EB790B" w:rsidP="00376CF8">
      <w:pPr>
        <w:pStyle w:val="BulletList"/>
      </w:pPr>
      <w:r w:rsidRPr="004F6C09">
        <w:t>Most investment and growth were in the arts, recreation, and business services sector ($8.</w:t>
      </w:r>
      <w:r w:rsidR="00D27FD5" w:rsidRPr="004F6C09">
        <w:t>6</w:t>
      </w:r>
      <w:r w:rsidRPr="004F6C09">
        <w:t xml:space="preserve"> billion) including substantial investment related to the 2032 Olympic </w:t>
      </w:r>
      <w:r w:rsidR="00A13024">
        <w:t xml:space="preserve">and Paralympic </w:t>
      </w:r>
      <w:r w:rsidRPr="004F6C09">
        <w:t>Games</w:t>
      </w:r>
      <w:r w:rsidR="00E67EBF">
        <w:t>, which are mostly based in the state’s capital</w:t>
      </w:r>
      <w:r w:rsidR="001B29A5">
        <w:t>.</w:t>
      </w:r>
    </w:p>
    <w:p w14:paraId="3C7DF9DD" w14:textId="5FA78A83" w:rsidR="00EB790B" w:rsidRPr="004F6C09" w:rsidRDefault="00EB790B" w:rsidP="00DD4810">
      <w:pPr>
        <w:pStyle w:val="BulletList"/>
        <w:rPr>
          <w:rFonts w:asciiTheme="majorHAnsi" w:eastAsia="Calibri" w:hAnsiTheme="majorHAnsi" w:cs="Calibri"/>
        </w:rPr>
      </w:pPr>
      <w:r w:rsidRPr="004F6C09">
        <w:rPr>
          <w:rFonts w:asciiTheme="majorHAnsi" w:eastAsia="Calibri" w:hAnsiTheme="majorHAnsi" w:cs="Calibri"/>
        </w:rPr>
        <w:t>Investment in the standalone accommodation sector totalled $2.</w:t>
      </w:r>
      <w:r w:rsidR="00D27FD5" w:rsidRPr="004F6C09">
        <w:rPr>
          <w:rFonts w:asciiTheme="majorHAnsi" w:eastAsia="Calibri" w:hAnsiTheme="majorHAnsi" w:cs="Calibri"/>
        </w:rPr>
        <w:t>2</w:t>
      </w:r>
      <w:r w:rsidRPr="004F6C09">
        <w:rPr>
          <w:rFonts w:asciiTheme="majorHAnsi" w:eastAsia="Calibri" w:hAnsiTheme="majorHAnsi" w:cs="Calibri"/>
        </w:rPr>
        <w:t xml:space="preserve"> billion</w:t>
      </w:r>
      <w:r w:rsidR="00C003B5">
        <w:rPr>
          <w:rFonts w:asciiTheme="majorHAnsi" w:eastAsia="Calibri" w:hAnsiTheme="majorHAnsi" w:cs="Calibri"/>
        </w:rPr>
        <w:t>,</w:t>
      </w:r>
      <w:r w:rsidR="00D27FD5" w:rsidRPr="004F6C09">
        <w:rPr>
          <w:rFonts w:asciiTheme="majorHAnsi" w:eastAsia="Calibri" w:hAnsiTheme="majorHAnsi" w:cs="Calibri"/>
        </w:rPr>
        <w:t xml:space="preserve"> which has seen incremental growth </w:t>
      </w:r>
      <w:r w:rsidR="00C003B5">
        <w:rPr>
          <w:rFonts w:asciiTheme="majorHAnsi" w:eastAsia="Calibri" w:hAnsiTheme="majorHAnsi" w:cs="Calibri"/>
        </w:rPr>
        <w:t xml:space="preserve">in the pipeline </w:t>
      </w:r>
      <w:r w:rsidR="00D27FD5" w:rsidRPr="004F6C09">
        <w:rPr>
          <w:rFonts w:asciiTheme="majorHAnsi" w:eastAsia="Calibri" w:hAnsiTheme="majorHAnsi" w:cs="Calibri"/>
        </w:rPr>
        <w:t>over the last few years</w:t>
      </w:r>
      <w:r w:rsidR="00A14690" w:rsidRPr="004F6C09">
        <w:rPr>
          <w:rFonts w:asciiTheme="majorHAnsi" w:eastAsia="Calibri" w:hAnsiTheme="majorHAnsi" w:cs="Calibri"/>
        </w:rPr>
        <w:t>.</w:t>
      </w:r>
    </w:p>
    <w:p w14:paraId="47E75FDD" w14:textId="3574DEF6" w:rsidR="00EB790B" w:rsidRPr="004F6C09" w:rsidRDefault="00EB790B" w:rsidP="00DD4810">
      <w:pPr>
        <w:pStyle w:val="BulletList"/>
        <w:rPr>
          <w:rFonts w:asciiTheme="majorHAnsi" w:eastAsia="Calibri" w:hAnsiTheme="majorHAnsi" w:cs="Calibri"/>
        </w:rPr>
      </w:pPr>
      <w:r w:rsidRPr="004F6C09">
        <w:rPr>
          <w:rFonts w:asciiTheme="majorHAnsi" w:eastAsia="Calibri" w:hAnsiTheme="majorHAnsi" w:cs="Calibri"/>
        </w:rPr>
        <w:t>Investment in the aviation sector totalled $1.</w:t>
      </w:r>
      <w:r w:rsidR="00A14690" w:rsidRPr="004F6C09">
        <w:rPr>
          <w:rFonts w:asciiTheme="majorHAnsi" w:eastAsia="Calibri" w:hAnsiTheme="majorHAnsi" w:cs="Calibri"/>
        </w:rPr>
        <w:t>6</w:t>
      </w:r>
      <w:r w:rsidRPr="004F6C09">
        <w:rPr>
          <w:rFonts w:asciiTheme="majorHAnsi" w:eastAsia="Calibri" w:hAnsiTheme="majorHAnsi" w:cs="Calibri"/>
        </w:rPr>
        <w:t xml:space="preserve"> billion, with the planned new terminal at Brisbane International Airport ($1.0 billion) the largest contributing investment.</w:t>
      </w:r>
    </w:p>
    <w:p w14:paraId="724AA459" w14:textId="2DBFFE4E" w:rsidR="00EB790B" w:rsidRPr="004F6C09" w:rsidRDefault="00EB790B" w:rsidP="003457F8">
      <w:pPr>
        <w:pStyle w:val="BulletList"/>
      </w:pPr>
      <w:r w:rsidRPr="004F6C09">
        <w:t>Capital city investment was $</w:t>
      </w:r>
      <w:r w:rsidR="001232A6" w:rsidRPr="004F6C09">
        <w:t>10.3</w:t>
      </w:r>
      <w:r w:rsidRPr="004F6C09">
        <w:t xml:space="preserve"> billion, up from $</w:t>
      </w:r>
      <w:r w:rsidR="001232A6" w:rsidRPr="004F6C09">
        <w:t>9.6</w:t>
      </w:r>
      <w:r w:rsidRPr="004F6C09">
        <w:t xml:space="preserve"> billion in 202</w:t>
      </w:r>
      <w:r w:rsidR="001232A6" w:rsidRPr="004F6C09">
        <w:t>2</w:t>
      </w:r>
      <w:r w:rsidR="0039522C">
        <w:t>–</w:t>
      </w:r>
      <w:r w:rsidRPr="004F6C09">
        <w:t>2</w:t>
      </w:r>
      <w:r w:rsidR="001232A6" w:rsidRPr="004F6C09">
        <w:t>3</w:t>
      </w:r>
      <w:r w:rsidRPr="004F6C09">
        <w:t xml:space="preserve"> </w:t>
      </w:r>
      <w:r w:rsidR="00EB6C64">
        <w:t xml:space="preserve">while </w:t>
      </w:r>
      <w:r w:rsidR="008060FF">
        <w:t>r</w:t>
      </w:r>
      <w:r w:rsidRPr="004F6C09">
        <w:t>egional investment was $2</w:t>
      </w:r>
      <w:r w:rsidR="001232A6" w:rsidRPr="004F6C09">
        <w:t>.0</w:t>
      </w:r>
      <w:r w:rsidRPr="004F6C09">
        <w:t xml:space="preserve"> billion, </w:t>
      </w:r>
      <w:r w:rsidR="001232A6" w:rsidRPr="004F6C09">
        <w:t>down</w:t>
      </w:r>
      <w:r w:rsidRPr="004F6C09">
        <w:t xml:space="preserve"> from $</w:t>
      </w:r>
      <w:r w:rsidR="001232A6" w:rsidRPr="004F6C09">
        <w:t>2.3</w:t>
      </w:r>
      <w:r w:rsidRPr="004F6C09">
        <w:t xml:space="preserve"> billion in 202</w:t>
      </w:r>
      <w:r w:rsidR="001232A6" w:rsidRPr="004F6C09">
        <w:t>2</w:t>
      </w:r>
      <w:r w:rsidR="0039522C">
        <w:t>–</w:t>
      </w:r>
      <w:r w:rsidRPr="004F6C09">
        <w:t>2</w:t>
      </w:r>
      <w:r w:rsidR="001232A6" w:rsidRPr="004F6C09">
        <w:t>3.</w:t>
      </w:r>
    </w:p>
    <w:p w14:paraId="5C4AE06E" w14:textId="77777777" w:rsidR="001352EB" w:rsidRPr="00AF3D9D" w:rsidRDefault="001352EB" w:rsidP="005F2ABB">
      <w:pPr>
        <w:pStyle w:val="Heading3"/>
        <w:keepNext/>
      </w:pPr>
      <w:bookmarkStart w:id="65" w:name="_Toc188024227"/>
      <w:bookmarkStart w:id="66" w:name="_Toc189145261"/>
      <w:bookmarkStart w:id="67" w:name="_Toc190084763"/>
      <w:bookmarkStart w:id="68" w:name="_Toc188024226"/>
      <w:bookmarkStart w:id="69" w:name="_Toc189145260"/>
      <w:r w:rsidRPr="00AF3D9D">
        <w:lastRenderedPageBreak/>
        <w:t>Western Australia</w:t>
      </w:r>
      <w:bookmarkEnd w:id="65"/>
      <w:bookmarkEnd w:id="66"/>
      <w:bookmarkEnd w:id="67"/>
    </w:p>
    <w:p w14:paraId="3F90B31A" w14:textId="40150A2E" w:rsidR="001352EB" w:rsidRPr="00AF3D9D" w:rsidRDefault="001352EB" w:rsidP="00DD4810">
      <w:pPr>
        <w:pStyle w:val="BulletList"/>
      </w:pPr>
      <w:r w:rsidRPr="00AF3D9D">
        <w:t xml:space="preserve">Western Australia had </w:t>
      </w:r>
      <w:r w:rsidR="00AF3D9D" w:rsidRPr="00AF3D9D">
        <w:t>39</w:t>
      </w:r>
      <w:r w:rsidRPr="00AF3D9D">
        <w:t xml:space="preserve"> projects valued at $7.7 billion</w:t>
      </w:r>
      <w:r w:rsidR="003E752B">
        <w:t xml:space="preserve"> in the </w:t>
      </w:r>
      <w:r w:rsidR="003E752B" w:rsidRPr="00434F8C">
        <w:t>tourism investment pipeline in 2023</w:t>
      </w:r>
      <w:r w:rsidR="0039522C">
        <w:t>–</w:t>
      </w:r>
      <w:r w:rsidR="003E752B" w:rsidRPr="00434F8C">
        <w:t>24</w:t>
      </w:r>
      <w:r w:rsidRPr="00AF3D9D">
        <w:t xml:space="preserve">, up $3.7 billion on the previous year.  </w:t>
      </w:r>
    </w:p>
    <w:p w14:paraId="2D33CFCD" w14:textId="2291BCB8" w:rsidR="001352EB" w:rsidRPr="00AF3D9D" w:rsidRDefault="001352EB" w:rsidP="00DD4810">
      <w:pPr>
        <w:pStyle w:val="BulletList"/>
      </w:pPr>
      <w:r w:rsidRPr="00AF3D9D">
        <w:t xml:space="preserve">Most of the investment was focused on aviation ($5.2 billion) with </w:t>
      </w:r>
      <w:r w:rsidR="004629D2">
        <w:t>the</w:t>
      </w:r>
      <w:r w:rsidRPr="00AF3D9D">
        <w:t xml:space="preserve"> New QANTAS Terminal </w:t>
      </w:r>
      <w:r w:rsidR="00604444">
        <w:t xml:space="preserve">at Perth Airport </w:t>
      </w:r>
      <w:r w:rsidRPr="00AF3D9D">
        <w:t>accounting for over half the investment</w:t>
      </w:r>
      <w:r w:rsidR="00793DDC">
        <w:t>.</w:t>
      </w:r>
    </w:p>
    <w:p w14:paraId="37B7BFC5" w14:textId="07AF5022" w:rsidR="001352EB" w:rsidRPr="00AF3D9D" w:rsidRDefault="001352EB" w:rsidP="00DD4810">
      <w:pPr>
        <w:pStyle w:val="BulletList"/>
      </w:pPr>
      <w:r w:rsidRPr="00AF3D9D">
        <w:t>Arts, recreation, and business services account</w:t>
      </w:r>
      <w:r w:rsidR="00F471F7">
        <w:t>ed</w:t>
      </w:r>
      <w:r w:rsidRPr="00AF3D9D">
        <w:t xml:space="preserve"> for $1.7 billion of investment</w:t>
      </w:r>
      <w:r w:rsidR="004856F7">
        <w:t>,</w:t>
      </w:r>
      <w:r w:rsidRPr="00AF3D9D">
        <w:t xml:space="preserve"> across 19 projects.</w:t>
      </w:r>
    </w:p>
    <w:p w14:paraId="1F44A94F" w14:textId="0A099E2C" w:rsidR="001352EB" w:rsidRPr="00AF3D9D" w:rsidRDefault="001352EB" w:rsidP="00DD4810">
      <w:pPr>
        <w:pStyle w:val="BulletList"/>
      </w:pPr>
      <w:r w:rsidRPr="00AF3D9D">
        <w:t>Capital city investment was $7.2 billion, up from the $3.6 billion in 2022</w:t>
      </w:r>
      <w:r w:rsidR="0039522C">
        <w:t>–</w:t>
      </w:r>
      <w:r w:rsidRPr="00AF3D9D">
        <w:t>23</w:t>
      </w:r>
      <w:r w:rsidR="0017517B">
        <w:t>,</w:t>
      </w:r>
      <w:r w:rsidR="00B22F9C">
        <w:t xml:space="preserve"> while</w:t>
      </w:r>
      <w:r w:rsidRPr="00AF3D9D">
        <w:t xml:space="preserve"> </w:t>
      </w:r>
      <w:r w:rsidR="00DA3B77">
        <w:t>r</w:t>
      </w:r>
      <w:r w:rsidR="00DA3B77" w:rsidRPr="00AF3D9D">
        <w:t>egional investment was $0.4 billion, the same as in 2022</w:t>
      </w:r>
      <w:r w:rsidR="0039522C">
        <w:t>–</w:t>
      </w:r>
      <w:r w:rsidR="00DA3B77" w:rsidRPr="00AF3D9D">
        <w:t>23.</w:t>
      </w:r>
      <w:r w:rsidRPr="00AF3D9D">
        <w:t xml:space="preserve"> </w:t>
      </w:r>
    </w:p>
    <w:p w14:paraId="281FECC7" w14:textId="60900DC8" w:rsidR="001352EB" w:rsidRPr="00AF3D9D" w:rsidRDefault="001352EB" w:rsidP="008060FF">
      <w:pPr>
        <w:pStyle w:val="BulletList"/>
        <w:numPr>
          <w:ilvl w:val="0"/>
          <w:numId w:val="0"/>
        </w:numPr>
        <w:ind w:left="720" w:hanging="360"/>
      </w:pPr>
    </w:p>
    <w:p w14:paraId="348FE956" w14:textId="77777777" w:rsidR="00EB790B" w:rsidRPr="00A51AB1" w:rsidRDefault="00EB790B" w:rsidP="00EB790B">
      <w:pPr>
        <w:pStyle w:val="Heading3"/>
      </w:pPr>
      <w:bookmarkStart w:id="70" w:name="_Toc190084764"/>
      <w:r w:rsidRPr="00A51AB1">
        <w:t>South Australia</w:t>
      </w:r>
      <w:bookmarkEnd w:id="68"/>
      <w:bookmarkEnd w:id="69"/>
      <w:bookmarkEnd w:id="70"/>
    </w:p>
    <w:p w14:paraId="0FF75D97" w14:textId="2BA0EB9A" w:rsidR="00EB790B" w:rsidRPr="00A51AB1" w:rsidRDefault="00EB790B" w:rsidP="00DD4810">
      <w:pPr>
        <w:pStyle w:val="BulletList"/>
      </w:pPr>
      <w:r w:rsidRPr="00A51AB1">
        <w:t xml:space="preserve">South Australia had </w:t>
      </w:r>
      <w:r w:rsidR="00657BFC" w:rsidRPr="00A51AB1">
        <w:t>4</w:t>
      </w:r>
      <w:r w:rsidR="00F948CA" w:rsidRPr="00A51AB1">
        <w:t>0</w:t>
      </w:r>
      <w:r w:rsidRPr="00A51AB1">
        <w:t xml:space="preserve"> projects </w:t>
      </w:r>
      <w:r w:rsidR="007C3BB5">
        <w:t>in the tourism investment pipeline in 2023</w:t>
      </w:r>
      <w:r w:rsidR="0039522C">
        <w:t>–</w:t>
      </w:r>
      <w:r w:rsidR="007C3BB5">
        <w:t>24</w:t>
      </w:r>
      <w:r w:rsidR="008E7FF0">
        <w:t>,</w:t>
      </w:r>
      <w:r w:rsidRPr="00A51AB1">
        <w:t xml:space="preserve"> valued at $3.</w:t>
      </w:r>
      <w:r w:rsidR="00A16C62" w:rsidRPr="00A51AB1">
        <w:t>4</w:t>
      </w:r>
      <w:r w:rsidR="00657BFC" w:rsidRPr="00A51AB1">
        <w:t xml:space="preserve"> </w:t>
      </w:r>
      <w:r w:rsidRPr="00A51AB1">
        <w:t>billion</w:t>
      </w:r>
      <w:r w:rsidR="00D849D9" w:rsidRPr="00A51AB1">
        <w:t xml:space="preserve"> </w:t>
      </w:r>
    </w:p>
    <w:p w14:paraId="68FFFA61" w14:textId="77777777" w:rsidR="005A4BDC" w:rsidRDefault="00EB790B" w:rsidP="005A4BDC">
      <w:pPr>
        <w:pStyle w:val="BulletList"/>
      </w:pPr>
      <w:r w:rsidRPr="00A51AB1">
        <w:t xml:space="preserve">These investments were </w:t>
      </w:r>
      <w:r w:rsidR="00617807" w:rsidRPr="00A51AB1">
        <w:t>predominately</w:t>
      </w:r>
      <w:r w:rsidRPr="00A51AB1">
        <w:t xml:space="preserve"> accommodation ($</w:t>
      </w:r>
      <w:r w:rsidR="00617807" w:rsidRPr="00A51AB1">
        <w:t>1</w:t>
      </w:r>
      <w:r w:rsidR="00167989" w:rsidRPr="00A51AB1">
        <w:t>.7</w:t>
      </w:r>
      <w:r w:rsidRPr="00A51AB1">
        <w:t xml:space="preserve"> billion)</w:t>
      </w:r>
      <w:r w:rsidR="0091530B" w:rsidRPr="00A51AB1">
        <w:t>, the top contributor for the state</w:t>
      </w:r>
      <w:r w:rsidR="008E7FF0">
        <w:t xml:space="preserve"> by sector.</w:t>
      </w:r>
    </w:p>
    <w:p w14:paraId="7B01CD1B" w14:textId="0F7B2CB4" w:rsidR="005A4BDC" w:rsidRPr="00A51AB1" w:rsidRDefault="005A4BDC" w:rsidP="005A4BDC">
      <w:pPr>
        <w:pStyle w:val="BulletList"/>
      </w:pPr>
      <w:r>
        <w:t>The accommodation pipeline in South Australia included 25 projects expected to add over 3,100 rooms. 12 of these projects were under construction in 2023</w:t>
      </w:r>
      <w:r w:rsidR="0039522C">
        <w:t>–</w:t>
      </w:r>
      <w:r>
        <w:t xml:space="preserve">24, and most of them </w:t>
      </w:r>
      <w:r w:rsidR="00B342DB">
        <w:t>were in</w:t>
      </w:r>
      <w:r>
        <w:t xml:space="preserve"> the state’s capital.</w:t>
      </w:r>
    </w:p>
    <w:p w14:paraId="0F268A42" w14:textId="691647EE" w:rsidR="005A4BDC" w:rsidRPr="00A51AB1" w:rsidRDefault="005A4BDC" w:rsidP="005A4BDC">
      <w:pPr>
        <w:pStyle w:val="BulletList"/>
      </w:pPr>
      <w:r w:rsidRPr="00A51AB1">
        <w:t>South Australia</w:t>
      </w:r>
      <w:r>
        <w:t xml:space="preserve">’s </w:t>
      </w:r>
      <w:r w:rsidRPr="00A51AB1">
        <w:t xml:space="preserve">in arts, recreation, and business services investment </w:t>
      </w:r>
      <w:r>
        <w:t>pipeline</w:t>
      </w:r>
      <w:r w:rsidRPr="00A51AB1">
        <w:t xml:space="preserve"> </w:t>
      </w:r>
      <w:r>
        <w:t xml:space="preserve">was worth </w:t>
      </w:r>
      <w:r w:rsidRPr="00A51AB1">
        <w:t>$1.2 billion</w:t>
      </w:r>
      <w:r>
        <w:t xml:space="preserve"> in 2023</w:t>
      </w:r>
      <w:r w:rsidR="0039522C">
        <w:t>–</w:t>
      </w:r>
      <w:r>
        <w:t>24</w:t>
      </w:r>
      <w:r w:rsidR="00226301">
        <w:t>,</w:t>
      </w:r>
      <w:r w:rsidRPr="00A51AB1">
        <w:t xml:space="preserve"> down by $0.6 billion </w:t>
      </w:r>
      <w:r>
        <w:t>compared with the previous year. It included 14 projects, 8 of which were under construction in 2023</w:t>
      </w:r>
      <w:r w:rsidR="0039522C">
        <w:t>–</w:t>
      </w:r>
      <w:r>
        <w:t xml:space="preserve">24.  </w:t>
      </w:r>
    </w:p>
    <w:p w14:paraId="40A43EEC" w14:textId="10695F2B" w:rsidR="00EB790B" w:rsidRPr="00A51AB1" w:rsidRDefault="00EB790B" w:rsidP="005A4BDC">
      <w:pPr>
        <w:pStyle w:val="BulletList"/>
      </w:pPr>
      <w:r w:rsidRPr="00A51AB1">
        <w:t>Capital city investment was $</w:t>
      </w:r>
      <w:r w:rsidR="0055198D" w:rsidRPr="00A51AB1">
        <w:t>2.</w:t>
      </w:r>
      <w:r w:rsidR="00A51AB1" w:rsidRPr="00A51AB1">
        <w:t>7</w:t>
      </w:r>
      <w:r w:rsidRPr="00A51AB1">
        <w:t xml:space="preserve"> billion, </w:t>
      </w:r>
      <w:r w:rsidR="0055198D" w:rsidRPr="00A51AB1">
        <w:t>down</w:t>
      </w:r>
      <w:r w:rsidRPr="00A51AB1">
        <w:t xml:space="preserve"> from $</w:t>
      </w:r>
      <w:r w:rsidR="00A3593F" w:rsidRPr="00A51AB1">
        <w:t xml:space="preserve">3.0 </w:t>
      </w:r>
      <w:r w:rsidRPr="00A51AB1">
        <w:t>billion in 202</w:t>
      </w:r>
      <w:r w:rsidR="00A3593F" w:rsidRPr="00A51AB1">
        <w:t>2</w:t>
      </w:r>
      <w:r w:rsidR="0039522C">
        <w:t>–</w:t>
      </w:r>
      <w:r w:rsidRPr="00A51AB1">
        <w:t>2</w:t>
      </w:r>
      <w:r w:rsidR="00A3593F" w:rsidRPr="00A51AB1">
        <w:t>3</w:t>
      </w:r>
      <w:r w:rsidR="00476511">
        <w:t>, while</w:t>
      </w:r>
      <w:r w:rsidR="007E34FB">
        <w:t xml:space="preserve"> r</w:t>
      </w:r>
      <w:r w:rsidR="007E34FB" w:rsidRPr="00A51AB1">
        <w:t xml:space="preserve">egional investment was $0.7 billion, </w:t>
      </w:r>
      <w:r w:rsidR="007E34FB">
        <w:t>unchanged from</w:t>
      </w:r>
      <w:r w:rsidR="007E34FB" w:rsidRPr="00A51AB1">
        <w:t xml:space="preserve"> the $0.7 billion in 2022</w:t>
      </w:r>
      <w:r w:rsidR="0039522C">
        <w:t>–</w:t>
      </w:r>
      <w:r w:rsidR="007E34FB" w:rsidRPr="00A51AB1">
        <w:t>23.</w:t>
      </w:r>
    </w:p>
    <w:p w14:paraId="6EE99BC6" w14:textId="77777777" w:rsidR="00EB790B" w:rsidRPr="001E7E91" w:rsidRDefault="00EB790B" w:rsidP="00EB790B">
      <w:pPr>
        <w:pStyle w:val="Heading3"/>
      </w:pPr>
      <w:bookmarkStart w:id="71" w:name="_Toc188024228"/>
      <w:bookmarkStart w:id="72" w:name="_Toc189145262"/>
      <w:bookmarkStart w:id="73" w:name="_Toc190084765"/>
      <w:r w:rsidRPr="001E7E91">
        <w:t>Tasmania</w:t>
      </w:r>
      <w:bookmarkEnd w:id="71"/>
      <w:bookmarkEnd w:id="72"/>
      <w:bookmarkEnd w:id="73"/>
    </w:p>
    <w:p w14:paraId="1309DAFE" w14:textId="57DD3331" w:rsidR="00EB790B" w:rsidRPr="001E7E91" w:rsidRDefault="00EB790B" w:rsidP="00DD4810">
      <w:pPr>
        <w:pStyle w:val="BulletList"/>
      </w:pPr>
      <w:r w:rsidRPr="001E7E91">
        <w:t xml:space="preserve">Tasmania had </w:t>
      </w:r>
      <w:r w:rsidR="00327AF7" w:rsidRPr="001E7E91">
        <w:t>3</w:t>
      </w:r>
      <w:r w:rsidR="00B649DB" w:rsidRPr="001E7E91">
        <w:t>6</w:t>
      </w:r>
      <w:r w:rsidRPr="001E7E91">
        <w:t xml:space="preserve"> projects valued at $</w:t>
      </w:r>
      <w:r w:rsidR="00BB59E6" w:rsidRPr="001E7E91">
        <w:t>3.</w:t>
      </w:r>
      <w:r w:rsidR="00B649DB" w:rsidRPr="001E7E91">
        <w:t>3</w:t>
      </w:r>
      <w:r w:rsidRPr="001E7E91">
        <w:t xml:space="preserve"> billion</w:t>
      </w:r>
      <w:r w:rsidR="00512D6A">
        <w:t xml:space="preserve"> in the </w:t>
      </w:r>
      <w:r w:rsidR="00512D6A" w:rsidRPr="00434F8C">
        <w:t>tourism investment pipeline in 2023</w:t>
      </w:r>
      <w:r w:rsidR="0039522C">
        <w:t>–</w:t>
      </w:r>
      <w:r w:rsidR="00512D6A" w:rsidRPr="00434F8C">
        <w:t>24</w:t>
      </w:r>
      <w:r w:rsidRPr="001E7E91">
        <w:t>, an increase of $</w:t>
      </w:r>
      <w:r w:rsidR="00BB59E6" w:rsidRPr="001E7E91">
        <w:t>0.</w:t>
      </w:r>
      <w:r w:rsidR="00B649DB" w:rsidRPr="001E7E91">
        <w:t>5</w:t>
      </w:r>
      <w:r w:rsidRPr="001E7E91">
        <w:t xml:space="preserve"> billion on the previous year. </w:t>
      </w:r>
    </w:p>
    <w:p w14:paraId="01EC5DCF" w14:textId="4B3484CF" w:rsidR="00F0777C" w:rsidRPr="001E7E91" w:rsidRDefault="00F0777C" w:rsidP="00F0777C">
      <w:pPr>
        <w:pStyle w:val="BulletList"/>
      </w:pPr>
      <w:r w:rsidRPr="001E7E91">
        <w:t>The</w:t>
      </w:r>
      <w:r>
        <w:t xml:space="preserve"> largest</w:t>
      </w:r>
      <w:r w:rsidRPr="001E7E91">
        <w:t xml:space="preserve"> investment</w:t>
      </w:r>
      <w:r>
        <w:t xml:space="preserve"> pipeline in the </w:t>
      </w:r>
      <w:r w:rsidRPr="001E7E91">
        <w:t>s</w:t>
      </w:r>
      <w:r>
        <w:t>tate</w:t>
      </w:r>
      <w:r w:rsidRPr="001E7E91">
        <w:t xml:space="preserve"> </w:t>
      </w:r>
      <w:r>
        <w:t xml:space="preserve">was </w:t>
      </w:r>
      <w:r w:rsidRPr="001E7E91">
        <w:t xml:space="preserve">the arts, recreation, and business services </w:t>
      </w:r>
      <w:r>
        <w:t xml:space="preserve">sector </w:t>
      </w:r>
      <w:r w:rsidRPr="001E7E91">
        <w:t xml:space="preserve">($2.3 billion) which </w:t>
      </w:r>
      <w:r>
        <w:t>saw</w:t>
      </w:r>
      <w:r w:rsidRPr="001E7E91">
        <w:t xml:space="preserve"> an increase of $0.6 billion</w:t>
      </w:r>
      <w:r>
        <w:t xml:space="preserve"> compared with the previous year</w:t>
      </w:r>
      <w:r w:rsidRPr="001E7E91">
        <w:t>.</w:t>
      </w:r>
      <w:r>
        <w:t xml:space="preserve"> There were 20 projects in this pipeline in 2023</w:t>
      </w:r>
      <w:r w:rsidR="0039522C">
        <w:t>–</w:t>
      </w:r>
      <w:r>
        <w:t>24.</w:t>
      </w:r>
      <w:r w:rsidRPr="001E7E91">
        <w:t xml:space="preserve"> </w:t>
      </w:r>
    </w:p>
    <w:p w14:paraId="7C22F0A7" w14:textId="3B84B865" w:rsidR="00EB790B" w:rsidRPr="001E7E91" w:rsidRDefault="003F67FE" w:rsidP="00DD4810">
      <w:pPr>
        <w:pStyle w:val="BulletList"/>
      </w:pPr>
      <w:r w:rsidRPr="001E7E91">
        <w:t xml:space="preserve">There </w:t>
      </w:r>
      <w:r w:rsidR="00F0777C">
        <w:t>were</w:t>
      </w:r>
      <w:r w:rsidR="00F0777C" w:rsidRPr="001E7E91">
        <w:t xml:space="preserve"> </w:t>
      </w:r>
      <w:r w:rsidRPr="001E7E91">
        <w:t>14 accommodation projects in Tasmania with a</w:t>
      </w:r>
      <w:r w:rsidR="00B17369">
        <w:t xml:space="preserve"> total</w:t>
      </w:r>
      <w:r w:rsidR="00FC164A" w:rsidRPr="001E7E91">
        <w:t xml:space="preserve"> investment of </w:t>
      </w:r>
      <w:r w:rsidR="00453C1D" w:rsidRPr="001E7E91">
        <w:t>$0.</w:t>
      </w:r>
      <w:r w:rsidR="00F80BE2">
        <w:t>7</w:t>
      </w:r>
      <w:r w:rsidR="00453C1D" w:rsidRPr="001E7E91">
        <w:t xml:space="preserve"> billion</w:t>
      </w:r>
      <w:r w:rsidR="00B17369">
        <w:t>.</w:t>
      </w:r>
    </w:p>
    <w:p w14:paraId="6C422035" w14:textId="6583BA26" w:rsidR="00EB790B" w:rsidRPr="00FF516F" w:rsidRDefault="00EB790B" w:rsidP="00DD4810">
      <w:pPr>
        <w:pStyle w:val="BulletList"/>
      </w:pPr>
      <w:r w:rsidRPr="001E7E91">
        <w:t xml:space="preserve">Capital </w:t>
      </w:r>
      <w:r w:rsidRPr="00FF516F">
        <w:t>city investment was $1.</w:t>
      </w:r>
      <w:r w:rsidR="00D2487F" w:rsidRPr="00FF516F">
        <w:t>9</w:t>
      </w:r>
      <w:r w:rsidRPr="00FF516F">
        <w:t xml:space="preserve"> billion, higher than the $1.</w:t>
      </w:r>
      <w:r w:rsidR="00D2487F" w:rsidRPr="00FF516F">
        <w:t>7</w:t>
      </w:r>
      <w:r w:rsidRPr="00FF516F">
        <w:t xml:space="preserve"> billion in 202</w:t>
      </w:r>
      <w:r w:rsidR="00D2487F" w:rsidRPr="00FF516F">
        <w:t>2</w:t>
      </w:r>
      <w:r w:rsidR="0039522C">
        <w:t>–</w:t>
      </w:r>
      <w:r w:rsidRPr="00FF516F">
        <w:t>2</w:t>
      </w:r>
      <w:r w:rsidR="00D2487F" w:rsidRPr="00FF516F">
        <w:t>3</w:t>
      </w:r>
      <w:r w:rsidR="00226301">
        <w:t xml:space="preserve">, </w:t>
      </w:r>
      <w:r w:rsidR="0017517B">
        <w:t>while</w:t>
      </w:r>
      <w:r w:rsidR="007E34FB">
        <w:t xml:space="preserve"> r</w:t>
      </w:r>
      <w:r w:rsidRPr="00FF516F">
        <w:t>egional investment was $1.</w:t>
      </w:r>
      <w:r w:rsidR="00D2487F" w:rsidRPr="00FF516F">
        <w:t>5</w:t>
      </w:r>
      <w:r w:rsidRPr="00FF516F">
        <w:t xml:space="preserve"> billion, up from $</w:t>
      </w:r>
      <w:r w:rsidR="00D2487F" w:rsidRPr="00FF516F">
        <w:t>1.1</w:t>
      </w:r>
      <w:r w:rsidRPr="00FF516F">
        <w:t xml:space="preserve"> billion in 202</w:t>
      </w:r>
      <w:r w:rsidR="00D2487F" w:rsidRPr="00FF516F">
        <w:t>2</w:t>
      </w:r>
      <w:r w:rsidR="0039522C">
        <w:t>–</w:t>
      </w:r>
      <w:r w:rsidRPr="00FF516F">
        <w:t>2</w:t>
      </w:r>
      <w:r w:rsidR="00D2487F" w:rsidRPr="00FF516F">
        <w:t>3</w:t>
      </w:r>
      <w:r w:rsidRPr="00FF516F">
        <w:t>.</w:t>
      </w:r>
    </w:p>
    <w:p w14:paraId="3FDA7A4E" w14:textId="77777777" w:rsidR="00EB790B" w:rsidRPr="00FF516F" w:rsidRDefault="00EB790B" w:rsidP="00EB790B">
      <w:pPr>
        <w:pStyle w:val="Heading3"/>
      </w:pPr>
      <w:bookmarkStart w:id="74" w:name="_Toc188024229"/>
      <w:bookmarkStart w:id="75" w:name="_Toc189145263"/>
      <w:bookmarkStart w:id="76" w:name="_Toc190084766"/>
      <w:r w:rsidRPr="00FF516F">
        <w:t>Northern Territory</w:t>
      </w:r>
      <w:bookmarkEnd w:id="74"/>
      <w:bookmarkEnd w:id="75"/>
      <w:bookmarkEnd w:id="76"/>
    </w:p>
    <w:p w14:paraId="3B92CF4A" w14:textId="07E8D29C" w:rsidR="00EB790B" w:rsidRPr="00FF516F" w:rsidRDefault="00EB790B" w:rsidP="00DD4810">
      <w:pPr>
        <w:pStyle w:val="BulletList"/>
      </w:pPr>
      <w:r w:rsidRPr="00FF516F">
        <w:t xml:space="preserve">Northern Territory had </w:t>
      </w:r>
      <w:r w:rsidR="009A4F19" w:rsidRPr="00FF516F">
        <w:t>2</w:t>
      </w:r>
      <w:r w:rsidR="009C75C2" w:rsidRPr="00FF516F">
        <w:t>1</w:t>
      </w:r>
      <w:r w:rsidRPr="00FF516F">
        <w:t xml:space="preserve"> projects valued at $2.</w:t>
      </w:r>
      <w:r w:rsidR="009C75C2" w:rsidRPr="00FF516F">
        <w:t>8</w:t>
      </w:r>
      <w:r w:rsidRPr="00FF516F">
        <w:t xml:space="preserve"> billion in the </w:t>
      </w:r>
      <w:r w:rsidR="003548DE" w:rsidRPr="00434F8C">
        <w:t xml:space="preserve">tourism investment </w:t>
      </w:r>
      <w:r w:rsidRPr="00FF516F">
        <w:t>pipeline</w:t>
      </w:r>
      <w:r w:rsidR="003548DE" w:rsidRPr="00434F8C">
        <w:t xml:space="preserve"> in 2023</w:t>
      </w:r>
      <w:r w:rsidR="0039522C">
        <w:t>–</w:t>
      </w:r>
      <w:r w:rsidR="003548DE" w:rsidRPr="00434F8C">
        <w:t>24</w:t>
      </w:r>
      <w:r w:rsidRPr="00FF516F">
        <w:t>, up $</w:t>
      </w:r>
      <w:r w:rsidR="00B9567C" w:rsidRPr="00FF516F">
        <w:t>0.</w:t>
      </w:r>
      <w:r w:rsidR="00DA4F0F" w:rsidRPr="00FF516F">
        <w:t>3</w:t>
      </w:r>
      <w:r w:rsidRPr="00FF516F">
        <w:t xml:space="preserve"> </w:t>
      </w:r>
      <w:r w:rsidR="00B9567C" w:rsidRPr="00FF516F">
        <w:t>b</w:t>
      </w:r>
      <w:r w:rsidRPr="00FF516F">
        <w:t>illion on 202</w:t>
      </w:r>
      <w:r w:rsidR="00044E5F" w:rsidRPr="00FF516F">
        <w:t>2</w:t>
      </w:r>
      <w:r w:rsidR="0039522C">
        <w:t>–</w:t>
      </w:r>
      <w:r w:rsidRPr="00FF516F">
        <w:t>2</w:t>
      </w:r>
      <w:r w:rsidR="00044E5F" w:rsidRPr="00FF516F">
        <w:t>3</w:t>
      </w:r>
      <w:r w:rsidRPr="00FF516F">
        <w:t xml:space="preserve">. </w:t>
      </w:r>
    </w:p>
    <w:p w14:paraId="0A271244" w14:textId="18400E5B" w:rsidR="00EB790B" w:rsidRPr="00FF516F" w:rsidRDefault="00EB790B" w:rsidP="0031179F">
      <w:pPr>
        <w:pStyle w:val="BulletList"/>
        <w:numPr>
          <w:ilvl w:val="0"/>
          <w:numId w:val="59"/>
        </w:numPr>
      </w:pPr>
      <w:r w:rsidRPr="00FF516F">
        <w:t>This included investments in the arts, recreation, and business services ($</w:t>
      </w:r>
      <w:r w:rsidR="00B9567C" w:rsidRPr="00FF516F">
        <w:t>2.1</w:t>
      </w:r>
      <w:r w:rsidRPr="00FF516F">
        <w:t xml:space="preserve"> billion), accommodation ($0.</w:t>
      </w:r>
      <w:r w:rsidR="00B9567C" w:rsidRPr="00FF516F">
        <w:t>4</w:t>
      </w:r>
      <w:r w:rsidRPr="00FF516F">
        <w:t xml:space="preserve"> billion) and aviation ($0.3 billion) sectors.</w:t>
      </w:r>
    </w:p>
    <w:p w14:paraId="19DFCD9B" w14:textId="0FC10DB8" w:rsidR="00EB790B" w:rsidRPr="00FF516F" w:rsidRDefault="00EB790B" w:rsidP="0031179F">
      <w:pPr>
        <w:pStyle w:val="BulletList"/>
        <w:numPr>
          <w:ilvl w:val="0"/>
          <w:numId w:val="59"/>
        </w:numPr>
      </w:pPr>
      <w:r w:rsidRPr="00FF516F">
        <w:t>Capital city investment was $1.</w:t>
      </w:r>
      <w:r w:rsidR="00690F54" w:rsidRPr="00FF516F">
        <w:t>8</w:t>
      </w:r>
      <w:r w:rsidRPr="00FF516F">
        <w:t xml:space="preserve"> billion, </w:t>
      </w:r>
      <w:r w:rsidR="00492F93" w:rsidRPr="00FF516F">
        <w:t xml:space="preserve">up from </w:t>
      </w:r>
      <w:r w:rsidRPr="00FF516F">
        <w:t>$</w:t>
      </w:r>
      <w:r w:rsidR="00690F54" w:rsidRPr="00FF516F">
        <w:t>1.4</w:t>
      </w:r>
      <w:r w:rsidRPr="00FF516F">
        <w:t xml:space="preserve"> billion in 202</w:t>
      </w:r>
      <w:r w:rsidR="00690F54" w:rsidRPr="00FF516F">
        <w:t>2</w:t>
      </w:r>
      <w:r w:rsidR="0039522C">
        <w:t>–</w:t>
      </w:r>
      <w:r w:rsidRPr="00FF516F">
        <w:t>2</w:t>
      </w:r>
      <w:r w:rsidR="00690F54" w:rsidRPr="00FF516F">
        <w:t>3</w:t>
      </w:r>
      <w:r w:rsidR="00344B37">
        <w:t>,</w:t>
      </w:r>
      <w:r w:rsidRPr="00FF516F">
        <w:t xml:space="preserve"> </w:t>
      </w:r>
      <w:r w:rsidR="000865F2">
        <w:t>while r</w:t>
      </w:r>
      <w:r w:rsidRPr="00FF516F">
        <w:t>egional investment was $1.</w:t>
      </w:r>
      <w:r w:rsidR="00690F54" w:rsidRPr="00FF516F">
        <w:t>0</w:t>
      </w:r>
      <w:r w:rsidRPr="00FF516F">
        <w:t xml:space="preserve"> billion, </w:t>
      </w:r>
      <w:r w:rsidR="00492F93" w:rsidRPr="00FF516F">
        <w:t>down</w:t>
      </w:r>
      <w:r w:rsidRPr="00FF516F">
        <w:t xml:space="preserve"> slightly from $1.</w:t>
      </w:r>
      <w:r w:rsidR="00690F54" w:rsidRPr="00FF516F">
        <w:t>1</w:t>
      </w:r>
      <w:r w:rsidRPr="00FF516F">
        <w:t xml:space="preserve"> billion in 202</w:t>
      </w:r>
      <w:r w:rsidR="00690F54" w:rsidRPr="00FF516F">
        <w:t>2</w:t>
      </w:r>
      <w:r w:rsidR="0039522C">
        <w:t>–</w:t>
      </w:r>
      <w:r w:rsidRPr="00FF516F">
        <w:t>2</w:t>
      </w:r>
      <w:r w:rsidR="00690F54" w:rsidRPr="00FF516F">
        <w:t>3</w:t>
      </w:r>
      <w:r w:rsidRPr="00FF516F">
        <w:t>.</w:t>
      </w:r>
    </w:p>
    <w:p w14:paraId="39DF76F8" w14:textId="77777777" w:rsidR="00EB790B" w:rsidRPr="00841DEC" w:rsidRDefault="00EB790B" w:rsidP="00EB790B">
      <w:pPr>
        <w:pStyle w:val="Heading3"/>
      </w:pPr>
      <w:bookmarkStart w:id="77" w:name="_Toc188024230"/>
      <w:bookmarkStart w:id="78" w:name="_Toc189145264"/>
      <w:bookmarkStart w:id="79" w:name="_Toc190084767"/>
      <w:r w:rsidRPr="00FF516F">
        <w:lastRenderedPageBreak/>
        <w:t>Australian Capital</w:t>
      </w:r>
      <w:r w:rsidRPr="00841DEC">
        <w:t xml:space="preserve"> Territory</w:t>
      </w:r>
      <w:bookmarkEnd w:id="77"/>
      <w:bookmarkEnd w:id="78"/>
      <w:bookmarkEnd w:id="79"/>
    </w:p>
    <w:p w14:paraId="1E2808D5" w14:textId="3F283E19" w:rsidR="001B2F72" w:rsidRPr="00841DEC" w:rsidRDefault="00EB790B" w:rsidP="00DD4810">
      <w:pPr>
        <w:pStyle w:val="BulletList"/>
      </w:pPr>
      <w:r w:rsidRPr="00841DEC">
        <w:t xml:space="preserve">The Australian Capital Territory had </w:t>
      </w:r>
      <w:r w:rsidR="00975A0B" w:rsidRPr="00841DEC">
        <w:t>10</w:t>
      </w:r>
      <w:r w:rsidRPr="00841DEC">
        <w:t xml:space="preserve"> projects valued at $1.</w:t>
      </w:r>
      <w:r w:rsidR="00975A0B" w:rsidRPr="00841DEC">
        <w:t>5</w:t>
      </w:r>
      <w:r w:rsidRPr="00841DEC">
        <w:t xml:space="preserve"> billion</w:t>
      </w:r>
      <w:r w:rsidR="00226301">
        <w:t>.</w:t>
      </w:r>
    </w:p>
    <w:p w14:paraId="4CE3E2C2" w14:textId="6FAC20FC" w:rsidR="00EB790B" w:rsidRPr="00841DEC" w:rsidRDefault="001B2F72" w:rsidP="00DD4810">
      <w:pPr>
        <w:pStyle w:val="BulletList"/>
      </w:pPr>
      <w:r w:rsidRPr="00841DEC">
        <w:t>There were 8 projects for arts, recreation, and business services</w:t>
      </w:r>
      <w:r w:rsidR="00344B37">
        <w:t xml:space="preserve"> and</w:t>
      </w:r>
      <w:r w:rsidR="00536D60" w:rsidRPr="00841DEC">
        <w:t xml:space="preserve"> 2 </w:t>
      </w:r>
      <w:r w:rsidR="00344B37">
        <w:t xml:space="preserve">in the </w:t>
      </w:r>
      <w:r w:rsidR="00536D60" w:rsidRPr="00841DEC">
        <w:t xml:space="preserve">accommodation </w:t>
      </w:r>
      <w:r w:rsidR="00344B37">
        <w:t>sector, while there are no significant</w:t>
      </w:r>
      <w:r w:rsidR="00536D60" w:rsidRPr="00841DEC">
        <w:t xml:space="preserve"> aviation projects</w:t>
      </w:r>
      <w:r w:rsidR="00344B37">
        <w:t xml:space="preserve"> currently in the project pipeline</w:t>
      </w:r>
      <w:r w:rsidR="00536D60" w:rsidRPr="00841DEC">
        <w:t>.</w:t>
      </w:r>
      <w:r w:rsidR="00EB790B" w:rsidRPr="00841DEC">
        <w:t xml:space="preserve"> </w:t>
      </w:r>
    </w:p>
    <w:p w14:paraId="5D7EFE12" w14:textId="4B05B3A4" w:rsidR="00EB790B" w:rsidRPr="00841DEC" w:rsidRDefault="00B342DB" w:rsidP="00DD4810">
      <w:pPr>
        <w:pStyle w:val="BulletList"/>
        <w:rPr>
          <w:color w:val="7A4282" w:themeColor="accent1"/>
        </w:rPr>
      </w:pPr>
      <w:r>
        <w:t>Most of</w:t>
      </w:r>
      <w:r w:rsidR="00EB790B" w:rsidRPr="00841DEC">
        <w:t xml:space="preserve"> the investment was in arts, recreation, and business services ($1.</w:t>
      </w:r>
      <w:r w:rsidR="006F76F5" w:rsidRPr="00841DEC">
        <w:t>4</w:t>
      </w:r>
      <w:r w:rsidR="00EB790B" w:rsidRPr="00841DEC">
        <w:t xml:space="preserve"> billion). This included the redevelopment of the Australian War Memorial ($548 million).</w:t>
      </w:r>
      <w:r w:rsidR="00EB790B" w:rsidRPr="00841DEC">
        <w:rPr>
          <w:noProof/>
        </w:rPr>
        <w:t xml:space="preserve"> </w:t>
      </w:r>
      <w:r w:rsidR="00EB790B" w:rsidRPr="00841DEC">
        <w:rPr>
          <w:color w:val="7A4282" w:themeColor="accent1"/>
        </w:rPr>
        <w:t xml:space="preserve"> </w:t>
      </w:r>
    </w:p>
    <w:p w14:paraId="0B82CA24" w14:textId="77777777" w:rsidR="00EB790B" w:rsidRPr="00280DAF" w:rsidRDefault="00EB790B" w:rsidP="002C0929">
      <w:pPr>
        <w:pStyle w:val="Heading2"/>
        <w:spacing w:before="600"/>
        <w:rPr>
          <w:b/>
          <w:color w:val="7A4282" w:themeColor="accent1"/>
          <w:szCs w:val="32"/>
        </w:rPr>
      </w:pPr>
      <w:bookmarkStart w:id="80" w:name="_Toc191539018"/>
      <w:r w:rsidRPr="00280DAF">
        <w:rPr>
          <w:color w:val="7A4282" w:themeColor="accent1"/>
          <w:szCs w:val="32"/>
        </w:rPr>
        <w:t>Aviation results</w:t>
      </w:r>
      <w:bookmarkEnd w:id="80"/>
    </w:p>
    <w:tbl>
      <w:tblPr>
        <w:tblStyle w:val="TableGrid"/>
        <w:tblW w:w="0" w:type="auto"/>
        <w:jc w:val="center"/>
        <w:tblLook w:val="04A0" w:firstRow="1" w:lastRow="0" w:firstColumn="1" w:lastColumn="0" w:noHBand="0" w:noVBand="1"/>
        <w:tblCaption w:val="Aviation results"/>
        <w:tblDescription w:val="Total  &#10;$23.1 billion &#10;22 projects&#10;Change from 2022–23: &#10;Up $4.2 billion &#10;Up 3 projects&#10;&#10;Capital cities &#10;$15.7 billion &#10;15 projects&#10;Change from 2022–23: &#10;Up $4.6 billion &#10;Up 5 projects   &#10;&#10;Regional&#10;$7.4 billion &#10;7 projects&#10;Change from 2022–23: &#10;Down $0.3 billion &#10;Down 2 projects &#10;"/>
      </w:tblPr>
      <w:tblGrid>
        <w:gridCol w:w="3117"/>
        <w:gridCol w:w="3116"/>
        <w:gridCol w:w="3117"/>
      </w:tblGrid>
      <w:tr w:rsidR="00EB790B" w:rsidRPr="00280DAF" w14:paraId="47B0F1B4" w14:textId="77777777" w:rsidTr="00911DF7">
        <w:trPr>
          <w:trHeight w:val="555"/>
          <w:jc w:val="center"/>
        </w:trPr>
        <w:tc>
          <w:tcPr>
            <w:tcW w:w="3117" w:type="dxa"/>
            <w:shd w:val="clear" w:color="auto" w:fill="2E1A47" w:themeFill="accent2"/>
            <w:vAlign w:val="center"/>
          </w:tcPr>
          <w:p w14:paraId="339186D8" w14:textId="77777777" w:rsidR="00EB790B" w:rsidRPr="00280DAF" w:rsidRDefault="00EB790B" w:rsidP="00911DF7">
            <w:pPr>
              <w:jc w:val="center"/>
              <w:rPr>
                <w:b/>
                <w:color w:val="FFFFFF" w:themeColor="background1"/>
              </w:rPr>
            </w:pPr>
            <w:bookmarkStart w:id="81" w:name="_Hlk95909387"/>
            <w:r w:rsidRPr="00280DAF">
              <w:rPr>
                <w:b/>
                <w:color w:val="FFFFFF" w:themeColor="background1"/>
              </w:rPr>
              <w:t>Total</w:t>
            </w:r>
            <w:r w:rsidRPr="00280DAF">
              <w:rPr>
                <w:rStyle w:val="FootnoteReference"/>
                <w:b/>
                <w:color w:val="FFFFFF" w:themeColor="background1"/>
              </w:rPr>
              <w:footnoteReference w:id="7"/>
            </w:r>
          </w:p>
        </w:tc>
        <w:tc>
          <w:tcPr>
            <w:tcW w:w="3116" w:type="dxa"/>
            <w:shd w:val="clear" w:color="auto" w:fill="2E1A47" w:themeFill="accent2"/>
            <w:vAlign w:val="center"/>
          </w:tcPr>
          <w:p w14:paraId="70EED60C" w14:textId="77777777" w:rsidR="00EB790B" w:rsidRPr="00280DAF" w:rsidRDefault="00EB790B" w:rsidP="00911DF7">
            <w:pPr>
              <w:jc w:val="center"/>
              <w:rPr>
                <w:b/>
                <w:color w:val="FFFFFF" w:themeColor="background1"/>
              </w:rPr>
            </w:pPr>
            <w:r w:rsidRPr="00280DAF">
              <w:rPr>
                <w:b/>
                <w:color w:val="FFFFFF" w:themeColor="background1"/>
              </w:rPr>
              <w:t>Capital cities</w:t>
            </w:r>
          </w:p>
        </w:tc>
        <w:tc>
          <w:tcPr>
            <w:tcW w:w="3117" w:type="dxa"/>
            <w:shd w:val="clear" w:color="auto" w:fill="2E1A47" w:themeFill="accent2"/>
            <w:vAlign w:val="center"/>
          </w:tcPr>
          <w:p w14:paraId="15967270" w14:textId="77777777" w:rsidR="00EB790B" w:rsidRPr="00280DAF" w:rsidRDefault="00EB790B" w:rsidP="00911DF7">
            <w:pPr>
              <w:jc w:val="center"/>
              <w:rPr>
                <w:b/>
                <w:color w:val="FFFFFF" w:themeColor="background1"/>
              </w:rPr>
            </w:pPr>
            <w:r w:rsidRPr="00280DAF">
              <w:rPr>
                <w:b/>
                <w:color w:val="FFFFFF" w:themeColor="background1"/>
              </w:rPr>
              <w:t>Regional</w:t>
            </w:r>
          </w:p>
        </w:tc>
      </w:tr>
      <w:tr w:rsidR="00EB790B" w:rsidRPr="00280DAF" w14:paraId="08FB31DC" w14:textId="77777777">
        <w:trPr>
          <w:jc w:val="center"/>
        </w:trPr>
        <w:tc>
          <w:tcPr>
            <w:tcW w:w="3117" w:type="dxa"/>
          </w:tcPr>
          <w:p w14:paraId="6A355703" w14:textId="733D3C91" w:rsidR="00EB790B" w:rsidRPr="00280DAF" w:rsidRDefault="00EB790B" w:rsidP="00336290">
            <w:pPr>
              <w:spacing w:before="120" w:after="120" w:line="300" w:lineRule="atLeast"/>
              <w:jc w:val="center"/>
              <w:rPr>
                <w:rFonts w:asciiTheme="minorHAnsi" w:eastAsia="Times New Roman" w:hAnsiTheme="minorHAnsi" w:cs="Times New Roman"/>
                <w:color w:val="000000"/>
                <w:lang w:eastAsia="en-AU"/>
              </w:rPr>
            </w:pPr>
            <w:r w:rsidRPr="00280DAF">
              <w:rPr>
                <w:rFonts w:asciiTheme="minorHAnsi" w:eastAsia="Times New Roman" w:hAnsiTheme="minorHAnsi" w:cs="Times New Roman"/>
                <w:color w:val="000000"/>
                <w:lang w:eastAsia="en-AU"/>
              </w:rPr>
              <w:t>$</w:t>
            </w:r>
            <w:r w:rsidR="009304BE" w:rsidRPr="00280DAF">
              <w:rPr>
                <w:rFonts w:asciiTheme="minorHAnsi" w:eastAsia="Times New Roman" w:hAnsiTheme="minorHAnsi" w:cs="Times New Roman"/>
                <w:color w:val="000000"/>
                <w:lang w:eastAsia="en-AU"/>
              </w:rPr>
              <w:t>23.1</w:t>
            </w:r>
            <w:r w:rsidRPr="00280DAF">
              <w:rPr>
                <w:rFonts w:asciiTheme="minorHAnsi" w:eastAsia="Times New Roman" w:hAnsiTheme="minorHAnsi" w:cs="Times New Roman"/>
                <w:color w:val="000000"/>
                <w:lang w:eastAsia="en-AU"/>
              </w:rPr>
              <w:t xml:space="preserve"> billion </w:t>
            </w:r>
          </w:p>
          <w:p w14:paraId="18F8C9A6" w14:textId="3551B6E6" w:rsidR="00EB790B" w:rsidRPr="00D4278D" w:rsidRDefault="009304BE" w:rsidP="00336290">
            <w:pPr>
              <w:spacing w:before="120" w:after="120" w:line="300" w:lineRule="atLeast"/>
              <w:jc w:val="center"/>
              <w:rPr>
                <w:rFonts w:asciiTheme="minorHAnsi" w:eastAsia="Times New Roman" w:hAnsiTheme="minorHAnsi" w:cs="Times New Roman"/>
                <w:color w:val="000000"/>
                <w:lang w:eastAsia="en-AU"/>
              </w:rPr>
            </w:pPr>
            <w:r w:rsidRPr="00280DAF">
              <w:rPr>
                <w:rFonts w:asciiTheme="minorHAnsi" w:eastAsia="Times New Roman" w:hAnsiTheme="minorHAnsi" w:cs="Times New Roman"/>
                <w:color w:val="000000"/>
                <w:lang w:eastAsia="en-AU"/>
              </w:rPr>
              <w:t>2</w:t>
            </w:r>
            <w:r w:rsidR="00FF516F" w:rsidRPr="00280DAF">
              <w:rPr>
                <w:rFonts w:asciiTheme="minorHAnsi" w:eastAsia="Times New Roman" w:hAnsiTheme="minorHAnsi" w:cs="Times New Roman"/>
                <w:color w:val="000000"/>
                <w:lang w:eastAsia="en-AU"/>
              </w:rPr>
              <w:t>2</w:t>
            </w:r>
            <w:r w:rsidR="00EB790B" w:rsidRPr="00280DAF">
              <w:rPr>
                <w:rFonts w:asciiTheme="minorHAnsi" w:eastAsia="Times New Roman" w:hAnsiTheme="minorHAnsi" w:cs="Times New Roman"/>
                <w:color w:val="000000"/>
                <w:lang w:eastAsia="en-AU"/>
              </w:rPr>
              <w:t xml:space="preserve"> projects</w:t>
            </w:r>
          </w:p>
        </w:tc>
        <w:tc>
          <w:tcPr>
            <w:tcW w:w="3116" w:type="dxa"/>
          </w:tcPr>
          <w:p w14:paraId="1B5CABD1" w14:textId="1A99AA50" w:rsidR="00EB790B" w:rsidRPr="00280DAF" w:rsidRDefault="00EB790B" w:rsidP="00336290">
            <w:pPr>
              <w:spacing w:before="120" w:after="120" w:line="300" w:lineRule="atLeast"/>
              <w:jc w:val="center"/>
              <w:rPr>
                <w:rFonts w:asciiTheme="majorHAnsi" w:eastAsia="Times New Roman" w:hAnsiTheme="majorHAnsi" w:cs="Times New Roman"/>
                <w:color w:val="000000"/>
                <w:lang w:eastAsia="en-AU"/>
              </w:rPr>
            </w:pPr>
            <w:r w:rsidRPr="00280DAF">
              <w:rPr>
                <w:rFonts w:asciiTheme="majorHAnsi" w:eastAsia="Times New Roman" w:hAnsiTheme="majorHAnsi" w:cs="Times New Roman"/>
                <w:color w:val="000000"/>
                <w:lang w:eastAsia="en-AU"/>
              </w:rPr>
              <w:t>$</w:t>
            </w:r>
            <w:r w:rsidR="00CB5B70" w:rsidRPr="00280DAF">
              <w:rPr>
                <w:rFonts w:asciiTheme="majorHAnsi" w:eastAsia="Times New Roman" w:hAnsiTheme="majorHAnsi" w:cs="Times New Roman"/>
                <w:color w:val="000000"/>
                <w:lang w:eastAsia="en-AU"/>
              </w:rPr>
              <w:t>15.7</w:t>
            </w:r>
            <w:r w:rsidRPr="00280DAF">
              <w:rPr>
                <w:rFonts w:asciiTheme="majorHAnsi" w:eastAsia="Times New Roman" w:hAnsiTheme="majorHAnsi" w:cs="Times New Roman"/>
                <w:color w:val="000000"/>
                <w:lang w:eastAsia="en-AU"/>
              </w:rPr>
              <w:t xml:space="preserve"> billion </w:t>
            </w:r>
          </w:p>
          <w:p w14:paraId="4D38217B" w14:textId="15E9EF12" w:rsidR="00EB790B" w:rsidRPr="00280DAF" w:rsidRDefault="00CB5B70" w:rsidP="00336290">
            <w:pPr>
              <w:spacing w:before="120" w:after="120" w:line="300" w:lineRule="atLeast"/>
              <w:jc w:val="center"/>
            </w:pPr>
            <w:r w:rsidRPr="00280DAF">
              <w:rPr>
                <w:rFonts w:asciiTheme="majorHAnsi" w:eastAsia="Times New Roman" w:hAnsiTheme="majorHAnsi" w:cs="Times New Roman"/>
                <w:color w:val="000000"/>
                <w:lang w:eastAsia="en-AU"/>
              </w:rPr>
              <w:t>15</w:t>
            </w:r>
            <w:r w:rsidR="00EB790B" w:rsidRPr="00280DAF">
              <w:rPr>
                <w:rFonts w:asciiTheme="majorHAnsi" w:eastAsia="Times New Roman" w:hAnsiTheme="majorHAnsi" w:cs="Times New Roman"/>
                <w:color w:val="000000"/>
                <w:lang w:eastAsia="en-AU"/>
              </w:rPr>
              <w:t xml:space="preserve"> projects</w:t>
            </w:r>
          </w:p>
        </w:tc>
        <w:tc>
          <w:tcPr>
            <w:tcW w:w="3117" w:type="dxa"/>
          </w:tcPr>
          <w:p w14:paraId="7D693A21" w14:textId="324C8278" w:rsidR="00EB790B" w:rsidRPr="00280DAF" w:rsidRDefault="00EB790B" w:rsidP="00336290">
            <w:pPr>
              <w:spacing w:before="120" w:after="120" w:line="300" w:lineRule="atLeast"/>
              <w:jc w:val="center"/>
              <w:rPr>
                <w:rFonts w:asciiTheme="majorHAnsi" w:eastAsia="Times New Roman" w:hAnsiTheme="majorHAnsi" w:cs="Times New Roman"/>
                <w:color w:val="000000"/>
                <w:lang w:eastAsia="en-AU"/>
              </w:rPr>
            </w:pPr>
            <w:r w:rsidRPr="00280DAF">
              <w:rPr>
                <w:rFonts w:asciiTheme="majorHAnsi" w:eastAsia="Times New Roman" w:hAnsiTheme="majorHAnsi" w:cs="Times New Roman"/>
                <w:color w:val="000000"/>
                <w:lang w:eastAsia="en-AU"/>
              </w:rPr>
              <w:t>$7.</w:t>
            </w:r>
            <w:r w:rsidR="00101FE1" w:rsidRPr="00280DAF">
              <w:rPr>
                <w:rFonts w:asciiTheme="majorHAnsi" w:eastAsia="Times New Roman" w:hAnsiTheme="majorHAnsi" w:cs="Times New Roman"/>
                <w:color w:val="000000"/>
                <w:lang w:eastAsia="en-AU"/>
              </w:rPr>
              <w:t>4</w:t>
            </w:r>
            <w:r w:rsidRPr="00280DAF">
              <w:rPr>
                <w:rFonts w:asciiTheme="majorHAnsi" w:eastAsia="Times New Roman" w:hAnsiTheme="majorHAnsi" w:cs="Times New Roman"/>
                <w:color w:val="000000"/>
                <w:lang w:eastAsia="en-AU"/>
              </w:rPr>
              <w:t xml:space="preserve"> billion </w:t>
            </w:r>
          </w:p>
          <w:p w14:paraId="48E80B02" w14:textId="2961A1BA" w:rsidR="00EB790B" w:rsidRPr="00280DAF" w:rsidRDefault="00101FE1" w:rsidP="00336290">
            <w:pPr>
              <w:spacing w:before="120" w:after="120" w:line="300" w:lineRule="atLeast"/>
              <w:jc w:val="center"/>
              <w:rPr>
                <w:rFonts w:ascii="Calibri" w:eastAsia="Times New Roman" w:hAnsi="Calibri" w:cs="Times New Roman"/>
                <w:color w:val="000000"/>
                <w:lang w:eastAsia="en-AU"/>
              </w:rPr>
            </w:pPr>
            <w:r w:rsidRPr="00280DAF">
              <w:rPr>
                <w:rFonts w:asciiTheme="majorHAnsi" w:eastAsia="Times New Roman" w:hAnsiTheme="majorHAnsi" w:cs="Times New Roman"/>
                <w:color w:val="000000"/>
                <w:lang w:eastAsia="en-AU"/>
              </w:rPr>
              <w:t>7</w:t>
            </w:r>
            <w:r w:rsidR="00EB790B" w:rsidRPr="00280DAF">
              <w:rPr>
                <w:rFonts w:asciiTheme="majorHAnsi" w:eastAsia="Times New Roman" w:hAnsiTheme="majorHAnsi" w:cs="Times New Roman"/>
                <w:color w:val="000000"/>
                <w:lang w:eastAsia="en-AU"/>
              </w:rPr>
              <w:t xml:space="preserve"> projects</w:t>
            </w:r>
          </w:p>
        </w:tc>
      </w:tr>
      <w:tr w:rsidR="00EB790B" w:rsidRPr="00CD1584" w14:paraId="024B5B52" w14:textId="77777777">
        <w:trPr>
          <w:jc w:val="center"/>
        </w:trPr>
        <w:tc>
          <w:tcPr>
            <w:tcW w:w="3117" w:type="dxa"/>
          </w:tcPr>
          <w:p w14:paraId="27B46824" w14:textId="0CAC4E8F" w:rsidR="00EB790B" w:rsidRPr="00280DAF" w:rsidRDefault="00EB790B" w:rsidP="00336290">
            <w:pPr>
              <w:spacing w:before="120" w:after="120" w:line="300" w:lineRule="atLeast"/>
              <w:jc w:val="center"/>
            </w:pPr>
            <w:r w:rsidRPr="00280DAF">
              <w:t>Change from 202</w:t>
            </w:r>
            <w:r w:rsidR="009304BE" w:rsidRPr="00280DAF">
              <w:t>2</w:t>
            </w:r>
            <w:r w:rsidR="0039522C">
              <w:t>–</w:t>
            </w:r>
            <w:r w:rsidRPr="00280DAF">
              <w:t>2</w:t>
            </w:r>
            <w:r w:rsidR="009304BE" w:rsidRPr="00280DAF">
              <w:t>3</w:t>
            </w:r>
            <w:r w:rsidRPr="00280DAF">
              <w:t xml:space="preserve">: </w:t>
            </w:r>
          </w:p>
          <w:p w14:paraId="4F0BEECA" w14:textId="1DCE8B76" w:rsidR="00EB790B" w:rsidRPr="00280DAF" w:rsidRDefault="00EB790B" w:rsidP="00336290">
            <w:pPr>
              <w:spacing w:before="120" w:after="120" w:line="300" w:lineRule="atLeast"/>
              <w:jc w:val="center"/>
              <w:rPr>
                <w:lang w:eastAsia="en-AU"/>
              </w:rPr>
            </w:pPr>
            <w:r w:rsidRPr="00280DAF">
              <w:rPr>
                <w:lang w:eastAsia="en-AU"/>
              </w:rPr>
              <w:t>Up $</w:t>
            </w:r>
            <w:r w:rsidR="00B66E81" w:rsidRPr="00280DAF">
              <w:rPr>
                <w:lang w:eastAsia="en-AU"/>
              </w:rPr>
              <w:t>4.</w:t>
            </w:r>
            <w:r w:rsidR="00CB46AC">
              <w:rPr>
                <w:lang w:eastAsia="en-AU"/>
              </w:rPr>
              <w:t>2</w:t>
            </w:r>
            <w:r w:rsidRPr="00280DAF">
              <w:rPr>
                <w:lang w:eastAsia="en-AU"/>
              </w:rPr>
              <w:t xml:space="preserve"> billion </w:t>
            </w:r>
          </w:p>
          <w:p w14:paraId="17D4A0B0" w14:textId="1202077C" w:rsidR="00EB790B" w:rsidRPr="00280DAF" w:rsidRDefault="00EB790B" w:rsidP="00336290">
            <w:pPr>
              <w:spacing w:before="120" w:after="120" w:line="300" w:lineRule="atLeast"/>
              <w:jc w:val="center"/>
            </w:pPr>
            <w:r w:rsidRPr="00280DAF">
              <w:rPr>
                <w:lang w:eastAsia="en-AU"/>
              </w:rPr>
              <w:t xml:space="preserve">Up </w:t>
            </w:r>
            <w:r w:rsidR="00FF516F" w:rsidRPr="00280DAF">
              <w:rPr>
                <w:lang w:eastAsia="en-AU"/>
              </w:rPr>
              <w:t>3</w:t>
            </w:r>
            <w:r w:rsidRPr="00280DAF">
              <w:rPr>
                <w:lang w:eastAsia="en-AU"/>
              </w:rPr>
              <w:t xml:space="preserve"> projects</w:t>
            </w:r>
          </w:p>
        </w:tc>
        <w:tc>
          <w:tcPr>
            <w:tcW w:w="3116" w:type="dxa"/>
          </w:tcPr>
          <w:p w14:paraId="5F65D0A9" w14:textId="6100B103" w:rsidR="006143D4" w:rsidRPr="00280DAF" w:rsidRDefault="006143D4" w:rsidP="00336290">
            <w:pPr>
              <w:spacing w:before="120" w:after="120" w:line="300" w:lineRule="atLeast"/>
              <w:jc w:val="center"/>
            </w:pPr>
            <w:r w:rsidRPr="00280DAF">
              <w:t>Change from 2022</w:t>
            </w:r>
            <w:r w:rsidR="0039522C">
              <w:t>–</w:t>
            </w:r>
            <w:r w:rsidRPr="00280DAF">
              <w:t xml:space="preserve">23: </w:t>
            </w:r>
          </w:p>
          <w:p w14:paraId="588514E6" w14:textId="521637D3" w:rsidR="00EB790B" w:rsidRPr="00280DAF" w:rsidRDefault="00EB790B" w:rsidP="00336290">
            <w:pPr>
              <w:spacing w:before="120" w:after="120" w:line="300" w:lineRule="atLeast"/>
              <w:jc w:val="center"/>
            </w:pPr>
            <w:r w:rsidRPr="00280DAF">
              <w:t>Up $</w:t>
            </w:r>
            <w:r w:rsidR="008E4B88" w:rsidRPr="00280DAF">
              <w:t>4.6</w:t>
            </w:r>
            <w:r w:rsidRPr="00280DAF">
              <w:t xml:space="preserve"> billion </w:t>
            </w:r>
          </w:p>
          <w:p w14:paraId="047F9CBE" w14:textId="79905E82" w:rsidR="00EB790B" w:rsidRPr="00280DAF" w:rsidRDefault="00EB790B" w:rsidP="00336290">
            <w:pPr>
              <w:spacing w:before="120" w:after="120" w:line="300" w:lineRule="atLeast"/>
              <w:jc w:val="center"/>
            </w:pPr>
            <w:r w:rsidRPr="00280DAF">
              <w:t xml:space="preserve">Up </w:t>
            </w:r>
            <w:r w:rsidR="008E4B88" w:rsidRPr="00280DAF">
              <w:t>5</w:t>
            </w:r>
            <w:r w:rsidRPr="00280DAF">
              <w:t xml:space="preserve"> projects   </w:t>
            </w:r>
          </w:p>
        </w:tc>
        <w:tc>
          <w:tcPr>
            <w:tcW w:w="3117" w:type="dxa"/>
          </w:tcPr>
          <w:p w14:paraId="237A7533" w14:textId="24DE019E" w:rsidR="006143D4" w:rsidRPr="00280DAF" w:rsidRDefault="006143D4" w:rsidP="00336290">
            <w:pPr>
              <w:spacing w:before="120" w:after="120" w:line="300" w:lineRule="atLeast"/>
              <w:jc w:val="center"/>
            </w:pPr>
            <w:r w:rsidRPr="00280DAF">
              <w:t>Change from 2022</w:t>
            </w:r>
            <w:r w:rsidR="0039522C">
              <w:t>–</w:t>
            </w:r>
            <w:r w:rsidRPr="00280DAF">
              <w:t xml:space="preserve">23: </w:t>
            </w:r>
          </w:p>
          <w:p w14:paraId="359BF376" w14:textId="38D2B66B" w:rsidR="00EB790B" w:rsidRPr="00280DAF" w:rsidRDefault="00EB790B" w:rsidP="00336290">
            <w:pPr>
              <w:spacing w:before="120" w:after="120" w:line="300" w:lineRule="atLeast"/>
              <w:jc w:val="center"/>
            </w:pPr>
            <w:r w:rsidRPr="00280DAF">
              <w:t xml:space="preserve"> </w:t>
            </w:r>
            <w:r w:rsidR="00FE64DE" w:rsidRPr="00280DAF">
              <w:t>Down</w:t>
            </w:r>
            <w:r w:rsidRPr="00280DAF">
              <w:t xml:space="preserve"> $0.</w:t>
            </w:r>
            <w:r w:rsidR="00101FE1" w:rsidRPr="00280DAF">
              <w:t>3</w:t>
            </w:r>
            <w:r w:rsidRPr="00280DAF">
              <w:t xml:space="preserve"> billion </w:t>
            </w:r>
          </w:p>
          <w:p w14:paraId="3AD7C272" w14:textId="25457D84" w:rsidR="00EB790B" w:rsidRPr="00280DAF" w:rsidRDefault="00FE64DE" w:rsidP="00336290">
            <w:pPr>
              <w:spacing w:before="120" w:after="120" w:line="300" w:lineRule="atLeast"/>
              <w:jc w:val="center"/>
              <w:rPr>
                <w:lang w:eastAsia="en-AU"/>
              </w:rPr>
            </w:pPr>
            <w:r w:rsidRPr="00280DAF">
              <w:rPr>
                <w:lang w:eastAsia="en-AU"/>
              </w:rPr>
              <w:t>Down</w:t>
            </w:r>
            <w:r w:rsidR="00EB790B" w:rsidRPr="00280DAF">
              <w:rPr>
                <w:lang w:eastAsia="en-AU"/>
              </w:rPr>
              <w:t xml:space="preserve"> </w:t>
            </w:r>
            <w:r w:rsidR="00101FE1" w:rsidRPr="00280DAF">
              <w:rPr>
                <w:lang w:eastAsia="en-AU"/>
              </w:rPr>
              <w:t>2</w:t>
            </w:r>
            <w:r w:rsidRPr="00280DAF">
              <w:rPr>
                <w:lang w:eastAsia="en-AU"/>
              </w:rPr>
              <w:t xml:space="preserve"> </w:t>
            </w:r>
            <w:r w:rsidR="00101FE1" w:rsidRPr="00280DAF">
              <w:rPr>
                <w:lang w:eastAsia="en-AU"/>
              </w:rPr>
              <w:t>projects</w:t>
            </w:r>
            <w:r w:rsidR="00EB790B" w:rsidRPr="00280DAF">
              <w:rPr>
                <w:lang w:eastAsia="en-AU"/>
              </w:rPr>
              <w:t xml:space="preserve"> </w:t>
            </w:r>
          </w:p>
        </w:tc>
      </w:tr>
      <w:bookmarkEnd w:id="81"/>
    </w:tbl>
    <w:p w14:paraId="6C2111E4" w14:textId="77777777" w:rsidR="00911DF7" w:rsidRDefault="00911DF7" w:rsidP="00EB790B"/>
    <w:p w14:paraId="1FFB0C58" w14:textId="2C7DAB4A" w:rsidR="00EB790B" w:rsidRPr="00854C2C" w:rsidRDefault="00EB790B" w:rsidP="00EB790B">
      <w:r w:rsidRPr="00854C2C">
        <w:t xml:space="preserve">Aviation </w:t>
      </w:r>
      <w:r w:rsidR="001504B4" w:rsidRPr="00854C2C">
        <w:t xml:space="preserve">continues to be a crucial element in the </w:t>
      </w:r>
      <w:r w:rsidR="00226301">
        <w:t>growth</w:t>
      </w:r>
      <w:r w:rsidR="001504B4" w:rsidRPr="00854C2C">
        <w:t xml:space="preserve"> of Australia’s tourism industry. </w:t>
      </w:r>
      <w:r w:rsidRPr="00854C2C">
        <w:t xml:space="preserve">Domestically, the distance between major centres and key tourism destinations often precludes ground transport. Internationally, </w:t>
      </w:r>
      <w:r w:rsidR="0098295C">
        <w:t>nearly</w:t>
      </w:r>
      <w:r>
        <w:t xml:space="preserve"> </w:t>
      </w:r>
      <w:r w:rsidRPr="00854C2C">
        <w:t xml:space="preserve">all visitors arrive by air. </w:t>
      </w:r>
    </w:p>
    <w:p w14:paraId="05270350" w14:textId="77777777" w:rsidR="00257299" w:rsidRDefault="00D871F9" w:rsidP="00EB790B">
      <w:r w:rsidRPr="00D871F9">
        <w:t>Important note</w:t>
      </w:r>
      <w:r>
        <w:t>:</w:t>
      </w:r>
      <w:r w:rsidRPr="00D871F9">
        <w:t xml:space="preserve"> Projects in this sector include airport construction, upgrades to runways, terminals, and related fixed aviation infrastructure. Purchases of aircraft, fleets, and commercial airlines are not included in the investment pipeline</w:t>
      </w:r>
      <w:r w:rsidR="00257299">
        <w:t>.</w:t>
      </w:r>
    </w:p>
    <w:p w14:paraId="3301E329" w14:textId="595DFB56" w:rsidR="00EB790B" w:rsidRPr="00280DAF" w:rsidRDefault="00EB790B" w:rsidP="00EB790B">
      <w:r w:rsidRPr="00280DAF">
        <w:t xml:space="preserve">In </w:t>
      </w:r>
      <w:r w:rsidR="007E3F7A" w:rsidRPr="00280DAF">
        <w:t>2023</w:t>
      </w:r>
      <w:r w:rsidR="0039522C">
        <w:t>–</w:t>
      </w:r>
      <w:r w:rsidR="007E3F7A" w:rsidRPr="00280DAF">
        <w:t>24</w:t>
      </w:r>
      <w:r w:rsidRPr="00280DAF">
        <w:t xml:space="preserve">, there were </w:t>
      </w:r>
      <w:r w:rsidR="00216C91" w:rsidRPr="00280DAF">
        <w:t>22</w:t>
      </w:r>
      <w:r w:rsidRPr="00280DAF">
        <w:t xml:space="preserve"> aviation projects worth $</w:t>
      </w:r>
      <w:r w:rsidR="00020055" w:rsidRPr="00280DAF">
        <w:t>23.1</w:t>
      </w:r>
      <w:r w:rsidRPr="00280DAF">
        <w:t xml:space="preserve"> billion (Figure 5). This was up </w:t>
      </w:r>
      <w:r w:rsidR="00163D11">
        <w:t xml:space="preserve">by </w:t>
      </w:r>
      <w:r w:rsidR="00216C91" w:rsidRPr="00280DAF">
        <w:t>3</w:t>
      </w:r>
      <w:r w:rsidRPr="00280DAF">
        <w:t xml:space="preserve"> projects and $</w:t>
      </w:r>
      <w:r w:rsidR="00020055" w:rsidRPr="00280DAF">
        <w:t>4.</w:t>
      </w:r>
      <w:r w:rsidR="00CB46AC">
        <w:t>2</w:t>
      </w:r>
      <w:r w:rsidRPr="00280DAF">
        <w:t xml:space="preserve"> billion in value when compared with the 202</w:t>
      </w:r>
      <w:r w:rsidR="00020055" w:rsidRPr="00280DAF">
        <w:t>2</w:t>
      </w:r>
      <w:r w:rsidR="0039522C">
        <w:t>–</w:t>
      </w:r>
      <w:r w:rsidRPr="00280DAF">
        <w:t>2</w:t>
      </w:r>
      <w:r w:rsidR="00020055" w:rsidRPr="00280DAF">
        <w:t>3</w:t>
      </w:r>
      <w:r w:rsidRPr="00280DAF">
        <w:t xml:space="preserve"> pipeline. </w:t>
      </w:r>
    </w:p>
    <w:p w14:paraId="6A746180" w14:textId="77777777" w:rsidR="00EB790B" w:rsidRPr="00280DAF" w:rsidRDefault="00EB790B" w:rsidP="00EB790B">
      <w:r w:rsidRPr="00280DAF">
        <w:t>Major projects in this sector include:</w:t>
      </w:r>
    </w:p>
    <w:p w14:paraId="0DCD61E4" w14:textId="23E1BC7C" w:rsidR="00EB790B" w:rsidRPr="00280DAF" w:rsidRDefault="00EB790B" w:rsidP="00A9784D">
      <w:pPr>
        <w:pStyle w:val="BulletList"/>
      </w:pPr>
      <w:r w:rsidRPr="00280DAF">
        <w:t>the Koo Wee Rup Airport located near Melbourne’s southeast corridor</w:t>
      </w:r>
      <w:r w:rsidR="00B337BA">
        <w:t>:</w:t>
      </w:r>
      <w:r w:rsidRPr="00280DAF">
        <w:t xml:space="preserve"> $7.0 billion </w:t>
      </w:r>
      <w:r w:rsidR="0087474A" w:rsidRPr="00280DAF">
        <w:t>(proposed)</w:t>
      </w:r>
    </w:p>
    <w:p w14:paraId="1B311B02" w14:textId="36D41533" w:rsidR="00EB790B" w:rsidRPr="00280DAF" w:rsidRDefault="00EB790B" w:rsidP="00A9784D">
      <w:pPr>
        <w:pStyle w:val="BulletList"/>
      </w:pPr>
      <w:r w:rsidRPr="00280DAF">
        <w:t>the Western Sydney International Airport (Badgerys Creek)</w:t>
      </w:r>
      <w:r w:rsidR="00B337BA">
        <w:t>:</w:t>
      </w:r>
      <w:r w:rsidRPr="00280DAF">
        <w:t xml:space="preserve"> $5.3 billion (under construction)</w:t>
      </w:r>
    </w:p>
    <w:p w14:paraId="50EF690F" w14:textId="711F6E39" w:rsidR="0097612A" w:rsidRPr="00280DAF" w:rsidRDefault="0097612A" w:rsidP="00A9784D">
      <w:pPr>
        <w:pStyle w:val="BulletList"/>
      </w:pPr>
      <w:r w:rsidRPr="00280DAF">
        <w:t xml:space="preserve">the new QANTAS </w:t>
      </w:r>
      <w:r w:rsidR="00725527" w:rsidRPr="00280DAF">
        <w:t xml:space="preserve">Terminal </w:t>
      </w:r>
      <w:r w:rsidR="00F60414">
        <w:t>at Perth Airport:</w:t>
      </w:r>
      <w:r w:rsidR="00725527" w:rsidRPr="00280DAF">
        <w:t xml:space="preserve"> $3.3 billion (proposed) </w:t>
      </w:r>
    </w:p>
    <w:p w14:paraId="45E5D186" w14:textId="3BE61EAA" w:rsidR="00EB790B" w:rsidRPr="00280DAF" w:rsidDel="000F59F7" w:rsidRDefault="00EB790B" w:rsidP="00A9784D">
      <w:pPr>
        <w:pStyle w:val="BulletList"/>
      </w:pPr>
      <w:r w:rsidRPr="00280DAF">
        <w:t>a</w:t>
      </w:r>
      <w:r w:rsidR="005E21B6">
        <w:t>n additional</w:t>
      </w:r>
      <w:r w:rsidRPr="00280DAF" w:rsidDel="000F59F7">
        <w:t xml:space="preserve"> runway at Melbourne Airport</w:t>
      </w:r>
      <w:r w:rsidR="00F60414">
        <w:t>:</w:t>
      </w:r>
      <w:r w:rsidRPr="00280DAF" w:rsidDel="000F59F7">
        <w:t xml:space="preserve"> $</w:t>
      </w:r>
      <w:r w:rsidRPr="00280DAF">
        <w:t>1.9</w:t>
      </w:r>
      <w:r w:rsidRPr="00280DAF" w:rsidDel="000F59F7">
        <w:t xml:space="preserve"> billion</w:t>
      </w:r>
      <w:r w:rsidR="0087474A" w:rsidRPr="00280DAF">
        <w:t xml:space="preserve"> (</w:t>
      </w:r>
      <w:r w:rsidR="0087474A" w:rsidRPr="00280DAF" w:rsidDel="000F59F7">
        <w:t>proposed</w:t>
      </w:r>
      <w:r w:rsidR="0087474A" w:rsidRPr="00280DAF">
        <w:t>)</w:t>
      </w:r>
    </w:p>
    <w:p w14:paraId="57907350" w14:textId="0A01F597" w:rsidR="00EB790B" w:rsidRPr="00280DAF" w:rsidDel="000F59F7" w:rsidRDefault="00490E3E" w:rsidP="00A9784D">
      <w:pPr>
        <w:pStyle w:val="BulletList"/>
      </w:pPr>
      <w:r>
        <w:t>a n</w:t>
      </w:r>
      <w:r w:rsidR="006D4E5B">
        <w:t>ew Terminal 3</w:t>
      </w:r>
      <w:r w:rsidR="00EB790B" w:rsidRPr="00280DAF">
        <w:t xml:space="preserve"> at Brisbane Airport</w:t>
      </w:r>
      <w:r w:rsidR="00F60414">
        <w:t>:</w:t>
      </w:r>
      <w:r w:rsidR="00EB790B" w:rsidRPr="00280DAF">
        <w:t xml:space="preserve"> $1.0 billion</w:t>
      </w:r>
      <w:r w:rsidR="0087474A" w:rsidRPr="00280DAF">
        <w:t xml:space="preserve"> (planned)</w:t>
      </w:r>
      <w:r w:rsidR="00EB790B" w:rsidRPr="00280DAF" w:rsidDel="000F59F7">
        <w:t>.</w:t>
      </w:r>
    </w:p>
    <w:p w14:paraId="5BA49DE6" w14:textId="77777777" w:rsidR="00EB790B" w:rsidRPr="00280DAF" w:rsidRDefault="00EB790B" w:rsidP="00336290">
      <w:pPr>
        <w:pStyle w:val="Heading3"/>
        <w:keepNext/>
      </w:pPr>
      <w:bookmarkStart w:id="82" w:name="_Toc95805110"/>
      <w:bookmarkStart w:id="83" w:name="_Toc95899265"/>
      <w:bookmarkStart w:id="84" w:name="_Toc95899347"/>
      <w:bookmarkStart w:id="85" w:name="_Toc126933040"/>
      <w:bookmarkStart w:id="86" w:name="_Toc126933924"/>
      <w:bookmarkStart w:id="87" w:name="_Toc2020060699"/>
      <w:bookmarkStart w:id="88" w:name="_Toc188024232"/>
      <w:bookmarkStart w:id="89" w:name="_Toc189145266"/>
      <w:bookmarkStart w:id="90" w:name="_Toc190084769"/>
      <w:r w:rsidRPr="00280DAF">
        <w:lastRenderedPageBreak/>
        <w:t>Breakdown by location</w:t>
      </w:r>
      <w:bookmarkEnd w:id="82"/>
      <w:bookmarkEnd w:id="83"/>
      <w:bookmarkEnd w:id="84"/>
      <w:bookmarkEnd w:id="85"/>
      <w:bookmarkEnd w:id="86"/>
      <w:bookmarkEnd w:id="87"/>
      <w:bookmarkEnd w:id="88"/>
      <w:bookmarkEnd w:id="89"/>
      <w:bookmarkEnd w:id="90"/>
    </w:p>
    <w:p w14:paraId="554A7897" w14:textId="1690DED0" w:rsidR="00EB790B" w:rsidRPr="00280DAF" w:rsidRDefault="00EB790B" w:rsidP="00EB790B">
      <w:r w:rsidRPr="00280DAF">
        <w:t xml:space="preserve">In </w:t>
      </w:r>
      <w:r w:rsidR="00606AEE" w:rsidRPr="00280DAF">
        <w:t>capital cities</w:t>
      </w:r>
      <w:r w:rsidRPr="00280DAF">
        <w:t xml:space="preserve"> there were 1</w:t>
      </w:r>
      <w:r w:rsidR="00057E66" w:rsidRPr="00280DAF">
        <w:t>5</w:t>
      </w:r>
      <w:r w:rsidRPr="00280DAF">
        <w:t xml:space="preserve"> projects worth $1</w:t>
      </w:r>
      <w:r w:rsidR="00D57BC3" w:rsidRPr="00280DAF">
        <w:t>5.7</w:t>
      </w:r>
      <w:r w:rsidRPr="00280DAF">
        <w:t xml:space="preserve"> billion </w:t>
      </w:r>
      <w:r w:rsidR="00606AEE" w:rsidRPr="00280DAF">
        <w:t>in the aviation sector</w:t>
      </w:r>
      <w:r w:rsidR="009A6803">
        <w:t xml:space="preserve"> for 2023</w:t>
      </w:r>
      <w:r w:rsidR="0039522C">
        <w:t>–</w:t>
      </w:r>
      <w:r w:rsidR="009A6803">
        <w:t>24</w:t>
      </w:r>
      <w:r w:rsidRPr="00280DAF">
        <w:t xml:space="preserve">. There were a further </w:t>
      </w:r>
      <w:r w:rsidR="0005206C" w:rsidRPr="00280DAF">
        <w:t>7</w:t>
      </w:r>
      <w:r w:rsidRPr="00280DAF">
        <w:t xml:space="preserve"> projects worth $7.</w:t>
      </w:r>
      <w:r w:rsidR="0005206C" w:rsidRPr="00280DAF">
        <w:t>4</w:t>
      </w:r>
      <w:r w:rsidRPr="00280DAF">
        <w:t xml:space="preserve"> billion in regional areas. The proposed Koo Wee Rup Airport located near Melbourne’s southeast corridor </w:t>
      </w:r>
      <w:r w:rsidR="00655C02" w:rsidRPr="00280DAF">
        <w:t>(above</w:t>
      </w:r>
      <w:r w:rsidRPr="00280DAF">
        <w:t>) accounts for much of the regional pipeline.</w:t>
      </w:r>
    </w:p>
    <w:p w14:paraId="2501123F" w14:textId="4DE45DF7" w:rsidR="00EB790B" w:rsidRPr="00DA1486" w:rsidRDefault="00EB790B" w:rsidP="00EB790B">
      <w:r w:rsidRPr="00DA1486">
        <w:t xml:space="preserve">In </w:t>
      </w:r>
      <w:r w:rsidR="007E3F7A" w:rsidRPr="00DA1486">
        <w:t>2023</w:t>
      </w:r>
      <w:r w:rsidR="0039522C">
        <w:t>–</w:t>
      </w:r>
      <w:r w:rsidR="007E3F7A" w:rsidRPr="00DA1486">
        <w:t>24</w:t>
      </w:r>
      <w:r w:rsidRPr="00DA1486">
        <w:t xml:space="preserve">, </w:t>
      </w:r>
      <w:r w:rsidR="00982E5B">
        <w:t xml:space="preserve">by </w:t>
      </w:r>
      <w:r w:rsidR="008E381D">
        <w:t xml:space="preserve">state </w:t>
      </w:r>
      <w:r w:rsidR="00982E5B">
        <w:t xml:space="preserve">and </w:t>
      </w:r>
      <w:r w:rsidR="008E381D">
        <w:t>territory</w:t>
      </w:r>
      <w:r w:rsidR="00982E5B">
        <w:t xml:space="preserve">, </w:t>
      </w:r>
      <w:r w:rsidRPr="00DA1486">
        <w:t>there were:</w:t>
      </w:r>
    </w:p>
    <w:p w14:paraId="3525C91D" w14:textId="2632B445" w:rsidR="00EB790B" w:rsidRPr="00DF59FB" w:rsidRDefault="00175D60" w:rsidP="00A9784D">
      <w:pPr>
        <w:pStyle w:val="BulletList"/>
      </w:pPr>
      <w:r w:rsidRPr="00F90579">
        <w:t xml:space="preserve">Victoria – </w:t>
      </w:r>
      <w:r w:rsidR="00EB790B" w:rsidRPr="00F90579">
        <w:t>3 projects</w:t>
      </w:r>
      <w:r w:rsidRPr="00F90579">
        <w:t xml:space="preserve"> </w:t>
      </w:r>
      <w:r w:rsidRPr="00DF59FB">
        <w:t xml:space="preserve">worth </w:t>
      </w:r>
      <w:r w:rsidR="00EB790B" w:rsidRPr="00DF59FB">
        <w:t>$9.4 billion</w:t>
      </w:r>
    </w:p>
    <w:p w14:paraId="05A1294B" w14:textId="23021D4E" w:rsidR="00EB790B" w:rsidRPr="00DA1486" w:rsidRDefault="00175D60" w:rsidP="00A9784D">
      <w:pPr>
        <w:pStyle w:val="BulletList"/>
      </w:pPr>
      <w:r w:rsidRPr="00DF59FB">
        <w:t xml:space="preserve">New South Wales – </w:t>
      </w:r>
      <w:r w:rsidR="00DF59FB" w:rsidRPr="00DF59FB">
        <w:t>4</w:t>
      </w:r>
      <w:r w:rsidR="00EB790B" w:rsidRPr="00DF59FB">
        <w:t xml:space="preserve"> </w:t>
      </w:r>
      <w:r w:rsidR="00EB790B" w:rsidRPr="00DA1486">
        <w:t xml:space="preserve">projects </w:t>
      </w:r>
      <w:r w:rsidRPr="00DA1486">
        <w:t xml:space="preserve">worth </w:t>
      </w:r>
      <w:r w:rsidR="00EB790B" w:rsidRPr="00DA1486">
        <w:t>$5.</w:t>
      </w:r>
      <w:r w:rsidR="00806BCE" w:rsidRPr="00DA1486">
        <w:t>8</w:t>
      </w:r>
      <w:r w:rsidR="00EB790B" w:rsidRPr="00DA1486">
        <w:t xml:space="preserve"> billion</w:t>
      </w:r>
    </w:p>
    <w:p w14:paraId="12B9C7DD" w14:textId="723F0CE3" w:rsidR="00EB790B" w:rsidRPr="00DA1486" w:rsidRDefault="00175D60" w:rsidP="00A9784D">
      <w:pPr>
        <w:pStyle w:val="BulletList"/>
      </w:pPr>
      <w:r w:rsidRPr="00DA1486">
        <w:t xml:space="preserve">Western Australia – </w:t>
      </w:r>
      <w:r w:rsidR="00806BCE" w:rsidRPr="00DA1486">
        <w:t>5</w:t>
      </w:r>
      <w:r w:rsidR="00EB790B" w:rsidRPr="00DA1486">
        <w:t xml:space="preserve"> projects </w:t>
      </w:r>
      <w:r w:rsidRPr="00DA1486">
        <w:t xml:space="preserve">worth </w:t>
      </w:r>
      <w:r w:rsidR="00EB790B" w:rsidRPr="00DA1486">
        <w:t>$</w:t>
      </w:r>
      <w:r w:rsidR="00B717DF" w:rsidRPr="00DA1486">
        <w:t>5</w:t>
      </w:r>
      <w:r w:rsidR="00EB790B" w:rsidRPr="00DA1486">
        <w:t>.</w:t>
      </w:r>
      <w:r w:rsidR="00B717DF" w:rsidRPr="00DA1486">
        <w:t>2</w:t>
      </w:r>
      <w:r w:rsidR="00EB790B" w:rsidRPr="00DA1486">
        <w:t xml:space="preserve"> billion</w:t>
      </w:r>
    </w:p>
    <w:p w14:paraId="7C3523CD" w14:textId="4DD151E1" w:rsidR="00EB790B" w:rsidRPr="00DA1486" w:rsidRDefault="00175D60" w:rsidP="00A9784D">
      <w:pPr>
        <w:pStyle w:val="BulletList"/>
      </w:pPr>
      <w:r w:rsidRPr="00DA1486">
        <w:t xml:space="preserve">Queensland – </w:t>
      </w:r>
      <w:r w:rsidR="00B717DF" w:rsidRPr="00DA1486">
        <w:t>5</w:t>
      </w:r>
      <w:r w:rsidR="00EB790B" w:rsidRPr="00DA1486">
        <w:t xml:space="preserve"> projects </w:t>
      </w:r>
      <w:r w:rsidRPr="00DA1486">
        <w:t xml:space="preserve">worth </w:t>
      </w:r>
      <w:r w:rsidR="00EB790B" w:rsidRPr="00DA1486">
        <w:t>$1.</w:t>
      </w:r>
      <w:r w:rsidR="00B717DF" w:rsidRPr="00DA1486">
        <w:t>6</w:t>
      </w:r>
      <w:r w:rsidR="00EB790B" w:rsidRPr="00DA1486">
        <w:t xml:space="preserve"> billion</w:t>
      </w:r>
    </w:p>
    <w:p w14:paraId="1DAB6A5C" w14:textId="2597DBA0" w:rsidR="00EB790B" w:rsidRPr="00F70E8F" w:rsidRDefault="00175D60" w:rsidP="00A9784D">
      <w:pPr>
        <w:pStyle w:val="BulletList"/>
      </w:pPr>
      <w:r w:rsidRPr="00DA1486">
        <w:t xml:space="preserve">Northern Territory – </w:t>
      </w:r>
      <w:r w:rsidR="00EB790B" w:rsidRPr="00DA1486">
        <w:t xml:space="preserve">2 </w:t>
      </w:r>
      <w:r w:rsidR="00EB790B" w:rsidRPr="00F70E8F">
        <w:t xml:space="preserve">projects </w:t>
      </w:r>
      <w:r w:rsidRPr="00F70E8F">
        <w:t xml:space="preserve">worth </w:t>
      </w:r>
      <w:r w:rsidR="00EB790B" w:rsidRPr="00F70E8F">
        <w:t>$0.3 billion</w:t>
      </w:r>
    </w:p>
    <w:p w14:paraId="34D572C4" w14:textId="67B5AB33" w:rsidR="00F90579" w:rsidRPr="00F70E8F" w:rsidRDefault="00C92AB9" w:rsidP="00A9784D">
      <w:pPr>
        <w:pStyle w:val="BulletList"/>
      </w:pPr>
      <w:bookmarkStart w:id="91" w:name="_Toc95805111"/>
      <w:r w:rsidRPr="00F70E8F">
        <w:t>South Australia</w:t>
      </w:r>
      <w:r w:rsidR="00F90579" w:rsidRPr="00F70E8F">
        <w:t xml:space="preserve"> – </w:t>
      </w:r>
      <w:r w:rsidR="00D47754">
        <w:t>1</w:t>
      </w:r>
      <w:r w:rsidR="00F90579" w:rsidRPr="00F70E8F">
        <w:t xml:space="preserve"> </w:t>
      </w:r>
      <w:r w:rsidR="00C52C61" w:rsidRPr="00F70E8F">
        <w:t>project</w:t>
      </w:r>
      <w:r w:rsidR="00F90579" w:rsidRPr="00F70E8F">
        <w:t xml:space="preserve"> work $0.5 billion</w:t>
      </w:r>
    </w:p>
    <w:p w14:paraId="49E4F629" w14:textId="7BBD3B46" w:rsidR="004976F7" w:rsidRPr="00F70E8F" w:rsidRDefault="00175D60" w:rsidP="00A9784D">
      <w:pPr>
        <w:pStyle w:val="BulletList"/>
      </w:pPr>
      <w:r w:rsidRPr="00F70E8F">
        <w:t xml:space="preserve">Tasmania – </w:t>
      </w:r>
      <w:r w:rsidR="00EB790B" w:rsidRPr="00F70E8F">
        <w:t xml:space="preserve">2 projects </w:t>
      </w:r>
      <w:r w:rsidRPr="00F70E8F">
        <w:t xml:space="preserve">worth </w:t>
      </w:r>
      <w:r w:rsidR="00EB790B" w:rsidRPr="00F70E8F">
        <w:t>$0.</w:t>
      </w:r>
      <w:r w:rsidR="004976F7" w:rsidRPr="00F70E8F">
        <w:t>3</w:t>
      </w:r>
      <w:r w:rsidR="00EB790B" w:rsidRPr="00F70E8F">
        <w:t xml:space="preserve"> billion</w:t>
      </w:r>
    </w:p>
    <w:p w14:paraId="541BFAB3" w14:textId="0EFFBB13" w:rsidR="00EB790B" w:rsidRPr="00F90579" w:rsidRDefault="00920F48" w:rsidP="00A9784D">
      <w:pPr>
        <w:pStyle w:val="BulletList"/>
      </w:pPr>
      <w:r w:rsidRPr="00F70E8F">
        <w:t>A</w:t>
      </w:r>
      <w:r w:rsidR="00175D60" w:rsidRPr="00F70E8F">
        <w:t>ustralian</w:t>
      </w:r>
      <w:r w:rsidR="00175D60" w:rsidRPr="00F90579">
        <w:t xml:space="preserve"> </w:t>
      </w:r>
      <w:r w:rsidRPr="00F90579">
        <w:t>C</w:t>
      </w:r>
      <w:r w:rsidR="00175D60" w:rsidRPr="00F90579">
        <w:t xml:space="preserve">apital </w:t>
      </w:r>
      <w:r w:rsidRPr="00F90579">
        <w:t>T</w:t>
      </w:r>
      <w:r w:rsidR="00175D60" w:rsidRPr="00F90579">
        <w:t>erritory</w:t>
      </w:r>
      <w:r w:rsidR="007A5E43" w:rsidRPr="00F70E8F">
        <w:t xml:space="preserve"> </w:t>
      </w:r>
      <w:r w:rsidR="004C4083">
        <w:t xml:space="preserve">– </w:t>
      </w:r>
      <w:r w:rsidR="008E381D">
        <w:t>n</w:t>
      </w:r>
      <w:r w:rsidR="008E381D" w:rsidRPr="00F70E8F">
        <w:t xml:space="preserve">o </w:t>
      </w:r>
      <w:r w:rsidR="004976F7" w:rsidRPr="00F70E8F">
        <w:t>aviation projects</w:t>
      </w:r>
      <w:r w:rsidR="00EB790B" w:rsidRPr="00F90579">
        <w:t>.</w:t>
      </w:r>
    </w:p>
    <w:p w14:paraId="506D9678" w14:textId="77777777" w:rsidR="00EB790B" w:rsidRPr="00280DAF" w:rsidRDefault="00EB790B" w:rsidP="00EB790B">
      <w:pPr>
        <w:pStyle w:val="Heading3"/>
      </w:pPr>
      <w:bookmarkStart w:id="92" w:name="_Toc95899266"/>
      <w:bookmarkStart w:id="93" w:name="_Toc95899348"/>
      <w:bookmarkStart w:id="94" w:name="_Toc126933041"/>
      <w:bookmarkStart w:id="95" w:name="_Toc126933925"/>
      <w:bookmarkStart w:id="96" w:name="_Toc380172906"/>
      <w:bookmarkStart w:id="97" w:name="_Toc188024233"/>
      <w:bookmarkStart w:id="98" w:name="_Toc189145267"/>
      <w:bookmarkStart w:id="99" w:name="_Toc190084770"/>
      <w:r w:rsidRPr="00280DAF">
        <w:t>Breakdown by project phase</w:t>
      </w:r>
      <w:bookmarkEnd w:id="91"/>
      <w:bookmarkEnd w:id="92"/>
      <w:bookmarkEnd w:id="93"/>
      <w:bookmarkEnd w:id="94"/>
      <w:bookmarkEnd w:id="95"/>
      <w:bookmarkEnd w:id="96"/>
      <w:bookmarkEnd w:id="97"/>
      <w:bookmarkEnd w:id="98"/>
      <w:bookmarkEnd w:id="99"/>
    </w:p>
    <w:p w14:paraId="0F56F565" w14:textId="1E29E004" w:rsidR="001F3FD6" w:rsidRPr="00280DAF" w:rsidRDefault="00EB790B" w:rsidP="00EB790B">
      <w:r w:rsidRPr="00280DAF">
        <w:t xml:space="preserve">Most of the projects in the aviation pipeline in </w:t>
      </w:r>
      <w:r w:rsidR="007E3F7A" w:rsidRPr="00280DAF">
        <w:t>2023</w:t>
      </w:r>
      <w:r w:rsidR="0039522C">
        <w:t>–</w:t>
      </w:r>
      <w:r w:rsidR="007E3F7A" w:rsidRPr="00280DAF">
        <w:t>24</w:t>
      </w:r>
      <w:r w:rsidRPr="00280DAF">
        <w:t xml:space="preserve"> were under construction (</w:t>
      </w:r>
      <w:r w:rsidR="00D12501" w:rsidRPr="00280DAF">
        <w:t>1</w:t>
      </w:r>
      <w:r w:rsidR="00DA1486" w:rsidRPr="00280DAF">
        <w:t>2</w:t>
      </w:r>
      <w:r w:rsidRPr="00280DAF">
        <w:t xml:space="preserve"> projects worth $</w:t>
      </w:r>
      <w:r w:rsidR="00273B78" w:rsidRPr="00280DAF">
        <w:t>8</w:t>
      </w:r>
      <w:r w:rsidRPr="00280DAF">
        <w:t>.</w:t>
      </w:r>
      <w:r w:rsidR="0050538D" w:rsidRPr="00280DAF">
        <w:t>5</w:t>
      </w:r>
      <w:r w:rsidRPr="00280DAF">
        <w:t xml:space="preserve"> billion) or in planning (8 projects valued at $</w:t>
      </w:r>
      <w:r w:rsidR="00273B78" w:rsidRPr="00280DAF">
        <w:t>4.</w:t>
      </w:r>
      <w:r w:rsidR="0050538D" w:rsidRPr="00280DAF">
        <w:t xml:space="preserve">3 </w:t>
      </w:r>
      <w:r w:rsidRPr="00280DAF">
        <w:t xml:space="preserve">billion). There were </w:t>
      </w:r>
      <w:r w:rsidR="00273B78" w:rsidRPr="00280DAF">
        <w:t>2</w:t>
      </w:r>
      <w:r w:rsidRPr="00280DAF">
        <w:t xml:space="preserve"> projects ($</w:t>
      </w:r>
      <w:r w:rsidR="00273B78" w:rsidRPr="00280DAF">
        <w:t>10</w:t>
      </w:r>
      <w:r w:rsidRPr="00280DAF">
        <w:t>.3 billion) in the proposed stage.</w:t>
      </w:r>
      <w:r w:rsidR="00273B78" w:rsidRPr="00280DAF">
        <w:t xml:space="preserve"> </w:t>
      </w:r>
      <w:r w:rsidR="00F92585">
        <w:t>Several</w:t>
      </w:r>
      <w:r w:rsidR="00164B4E">
        <w:t xml:space="preserve"> p</w:t>
      </w:r>
      <w:r w:rsidR="003232F9" w:rsidRPr="00280DAF">
        <w:t xml:space="preserve">rojects </w:t>
      </w:r>
      <w:r w:rsidR="00D2719C" w:rsidRPr="00280DAF">
        <w:t xml:space="preserve">have moved through the pipeline in the last year </w:t>
      </w:r>
      <w:r w:rsidR="00126719" w:rsidRPr="00280DAF">
        <w:t>from</w:t>
      </w:r>
      <w:r w:rsidR="00D2719C" w:rsidRPr="00280DAF">
        <w:t xml:space="preserve"> </w:t>
      </w:r>
      <w:r w:rsidR="00735ED5" w:rsidRPr="00280DAF">
        <w:t>planning to under construction</w:t>
      </w:r>
      <w:r w:rsidR="00164B4E">
        <w:t>,</w:t>
      </w:r>
      <w:r w:rsidR="00735ED5" w:rsidRPr="00280DAF">
        <w:t xml:space="preserve"> indicating </w:t>
      </w:r>
      <w:r w:rsidR="0075714A" w:rsidRPr="00280DAF">
        <w:t>aviation is a</w:t>
      </w:r>
      <w:r w:rsidR="00126719" w:rsidRPr="00280DAF">
        <w:t xml:space="preserve">n important sector </w:t>
      </w:r>
      <w:r w:rsidR="002E17D8" w:rsidRPr="00280DAF">
        <w:t xml:space="preserve">for tourism </w:t>
      </w:r>
      <w:r w:rsidR="00BD77F6" w:rsidRPr="00280DAF">
        <w:t xml:space="preserve">ahead of increased forecasts for international visitors in years to come. </w:t>
      </w:r>
    </w:p>
    <w:p w14:paraId="00BD5ABE" w14:textId="1655E7FA" w:rsidR="00EB790B" w:rsidRPr="00280DAF" w:rsidRDefault="00EB790B" w:rsidP="00EB790B">
      <w:pPr>
        <w:spacing w:before="360" w:line="300" w:lineRule="atLeast"/>
        <w:rPr>
          <w:rFonts w:eastAsia="Verdana" w:cs="Times New Roman"/>
          <w:color w:val="2E1A47" w:themeColor="text2"/>
        </w:rPr>
      </w:pPr>
      <w:r w:rsidRPr="00280DAF">
        <w:rPr>
          <w:b/>
          <w:bCs/>
          <w:color w:val="2E1A47" w:themeColor="text2"/>
        </w:rPr>
        <w:t>Figure 5:</w:t>
      </w:r>
      <w:r w:rsidRPr="00280DAF">
        <w:rPr>
          <w:color w:val="2E1A47" w:themeColor="text2"/>
        </w:rPr>
        <w:t xml:space="preserve"> </w:t>
      </w:r>
      <w:r w:rsidRPr="00280DAF">
        <w:rPr>
          <w:rFonts w:eastAsia="Verdana" w:cs="Times New Roman"/>
          <w:color w:val="2E1A47" w:themeColor="text2"/>
        </w:rPr>
        <w:t xml:space="preserve">Aviation pipeline by project phase, </w:t>
      </w:r>
      <w:r w:rsidR="007E3F7A" w:rsidRPr="00280DAF">
        <w:rPr>
          <w:rFonts w:eastAsia="Verdana" w:cs="Times New Roman"/>
          <w:color w:val="2E1A47" w:themeColor="text2"/>
        </w:rPr>
        <w:t>2023</w:t>
      </w:r>
      <w:r w:rsidR="0039522C">
        <w:rPr>
          <w:rFonts w:eastAsia="Verdana" w:cs="Times New Roman"/>
          <w:color w:val="2E1A47" w:themeColor="text2"/>
        </w:rPr>
        <w:t>–</w:t>
      </w:r>
      <w:r w:rsidR="007E3F7A" w:rsidRPr="00280DAF">
        <w:rPr>
          <w:rFonts w:eastAsia="Verdana" w:cs="Times New Roman"/>
          <w:color w:val="2E1A47" w:themeColor="text2"/>
        </w:rPr>
        <w:t>24</w:t>
      </w:r>
      <w:r w:rsidRPr="00280DAF">
        <w:rPr>
          <w:rFonts w:eastAsia="Verdana" w:cs="Times New Roman"/>
          <w:color w:val="2E1A47" w:themeColor="text2"/>
        </w:rPr>
        <w:t>.</w:t>
      </w:r>
    </w:p>
    <w:p w14:paraId="7B4ED5CE" w14:textId="5E8603C0" w:rsidR="00EB790B" w:rsidRPr="00280DAF" w:rsidRDefault="00AC1F9A" w:rsidP="00EB790B">
      <w:pPr>
        <w:spacing w:line="300" w:lineRule="atLeast"/>
      </w:pPr>
      <w:r w:rsidRPr="00280DAF">
        <w:rPr>
          <w:noProof/>
        </w:rPr>
        <w:drawing>
          <wp:inline distT="0" distB="0" distL="0" distR="0" wp14:anchorId="564ACC2B" wp14:editId="04876D1E">
            <wp:extent cx="6329680" cy="2480807"/>
            <wp:effectExtent l="0" t="0" r="0" b="0"/>
            <wp:docPr id="1331910260" name="Chart 1" descr="Figure 5 shows the value of the aviation pipeline by project phase for 2023-24. It also shows the breakdown of projects by location in the capital or regional areas. The vast majority of the project value under construction occurs in capital cities, while the majority of proposed project value occurs in regional areas.&#10;">
              <a:extLst xmlns:a="http://schemas.openxmlformats.org/drawingml/2006/main">
                <a:ext uri="{FF2B5EF4-FFF2-40B4-BE49-F238E27FC236}">
                  <a16:creationId xmlns:a16="http://schemas.microsoft.com/office/drawing/2014/main" id="{5FC758FA-B679-4AC7-814D-3C075AEF53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6D352D" w14:textId="77777777" w:rsidR="00EB790B" w:rsidRPr="00280DAF" w:rsidRDefault="00EB790B" w:rsidP="00EB790B">
      <w:pPr>
        <w:spacing w:after="160" w:line="259" w:lineRule="auto"/>
        <w:rPr>
          <w:rFonts w:eastAsia="SimSun" w:cs="Times New Roman"/>
          <w:color w:val="7A4282" w:themeColor="accent1"/>
          <w:sz w:val="32"/>
          <w:szCs w:val="32"/>
          <w:lang w:eastAsia="zh-CN"/>
        </w:rPr>
      </w:pPr>
      <w:bookmarkStart w:id="100" w:name="_Toc153782354"/>
      <w:r w:rsidRPr="00280DAF">
        <w:rPr>
          <w:color w:val="7A4282" w:themeColor="accent1"/>
          <w:sz w:val="32"/>
          <w:szCs w:val="32"/>
        </w:rPr>
        <w:br w:type="page"/>
      </w:r>
    </w:p>
    <w:p w14:paraId="6A9DCF98" w14:textId="77777777" w:rsidR="00EB790B" w:rsidRPr="00280DAF" w:rsidRDefault="00EB790B" w:rsidP="00EB790B">
      <w:pPr>
        <w:pStyle w:val="Heading2"/>
        <w:rPr>
          <w:b/>
          <w:color w:val="7A4282" w:themeColor="accent1"/>
          <w:szCs w:val="32"/>
        </w:rPr>
      </w:pPr>
      <w:bookmarkStart w:id="101" w:name="_Toc191539019"/>
      <w:r w:rsidRPr="0099026F">
        <w:rPr>
          <w:color w:val="7A4282" w:themeColor="accent1"/>
          <w:szCs w:val="32"/>
        </w:rPr>
        <w:lastRenderedPageBreak/>
        <w:t>Arts, recreation, and business services results</w:t>
      </w:r>
      <w:bookmarkEnd w:id="100"/>
      <w:bookmarkEnd w:id="101"/>
    </w:p>
    <w:tbl>
      <w:tblPr>
        <w:tblStyle w:val="TableGrid"/>
        <w:tblW w:w="0" w:type="auto"/>
        <w:jc w:val="center"/>
        <w:tblLook w:val="04A0" w:firstRow="1" w:lastRow="0" w:firstColumn="1" w:lastColumn="0" w:noHBand="0" w:noVBand="1"/>
        <w:tblCaption w:val="Arts, recreation, and business services summary table"/>
        <w:tblDescription w:val="Total &#10;$28.9 billion&#10;160 projects&#10;&#10;Change from 2022–23:&#10;Up $3.8 billion&#10;Up 31 projects&#10;&#10;Capital cities &#10;$23.7 billion &#10;106 projects&#10;&#10;Change from 2022–23: &#10;Up $3.0 billion &#10;Up 26 projects&#10;&#10;Regional&#10;$5.2 billion&#10;54 projects&#10; &#10;Change from 2022–23: &#10;Up $0.9 billion &#10;Up 5 projects "/>
      </w:tblPr>
      <w:tblGrid>
        <w:gridCol w:w="3117"/>
        <w:gridCol w:w="3116"/>
        <w:gridCol w:w="3117"/>
      </w:tblGrid>
      <w:tr w:rsidR="00EB790B" w:rsidRPr="00CD1584" w14:paraId="1B293FA8" w14:textId="77777777" w:rsidTr="00911DF7">
        <w:trPr>
          <w:trHeight w:val="555"/>
          <w:jc w:val="center"/>
        </w:trPr>
        <w:tc>
          <w:tcPr>
            <w:tcW w:w="3117" w:type="dxa"/>
            <w:shd w:val="clear" w:color="auto" w:fill="2E1A47" w:themeFill="text2"/>
            <w:vAlign w:val="center"/>
          </w:tcPr>
          <w:p w14:paraId="4331E8AA" w14:textId="77777777" w:rsidR="00EB790B" w:rsidRPr="003762EC" w:rsidRDefault="00EB790B" w:rsidP="00911DF7">
            <w:pPr>
              <w:jc w:val="center"/>
              <w:rPr>
                <w:b/>
                <w:color w:val="FFFFFF" w:themeColor="background1"/>
              </w:rPr>
            </w:pPr>
            <w:bookmarkStart w:id="102" w:name="_Hlk95909481"/>
            <w:bookmarkStart w:id="103" w:name="_Toc95805105"/>
            <w:bookmarkStart w:id="104" w:name="_Toc95899268"/>
            <w:bookmarkStart w:id="105" w:name="_Toc95899350"/>
            <w:r w:rsidRPr="003762EC">
              <w:rPr>
                <w:b/>
                <w:color w:val="FFFFFF" w:themeColor="background1"/>
              </w:rPr>
              <w:t>Total</w:t>
            </w:r>
          </w:p>
        </w:tc>
        <w:tc>
          <w:tcPr>
            <w:tcW w:w="3116" w:type="dxa"/>
            <w:shd w:val="clear" w:color="auto" w:fill="2E1A47" w:themeFill="text2"/>
            <w:vAlign w:val="center"/>
          </w:tcPr>
          <w:p w14:paraId="6CB7918E" w14:textId="77777777" w:rsidR="00EB790B" w:rsidRPr="003762EC" w:rsidRDefault="00EB790B" w:rsidP="00911DF7">
            <w:pPr>
              <w:jc w:val="center"/>
              <w:rPr>
                <w:b/>
                <w:color w:val="FFFFFF" w:themeColor="background1"/>
              </w:rPr>
            </w:pPr>
            <w:r w:rsidRPr="003762EC">
              <w:rPr>
                <w:b/>
                <w:color w:val="FFFFFF" w:themeColor="background1"/>
              </w:rPr>
              <w:t>Capital cities</w:t>
            </w:r>
          </w:p>
        </w:tc>
        <w:tc>
          <w:tcPr>
            <w:tcW w:w="3117" w:type="dxa"/>
            <w:shd w:val="clear" w:color="auto" w:fill="2E1A47" w:themeFill="text2"/>
            <w:vAlign w:val="center"/>
          </w:tcPr>
          <w:p w14:paraId="5957DF95" w14:textId="77777777" w:rsidR="00EB790B" w:rsidRPr="003762EC" w:rsidRDefault="00EB790B" w:rsidP="00911DF7">
            <w:pPr>
              <w:jc w:val="center"/>
              <w:rPr>
                <w:b/>
                <w:color w:val="FFFFFF" w:themeColor="background1"/>
              </w:rPr>
            </w:pPr>
            <w:r w:rsidRPr="003762EC">
              <w:rPr>
                <w:b/>
                <w:color w:val="FFFFFF" w:themeColor="background1"/>
              </w:rPr>
              <w:t>Regional</w:t>
            </w:r>
          </w:p>
        </w:tc>
      </w:tr>
      <w:tr w:rsidR="00FF1DCE" w:rsidRPr="00280DAF" w14:paraId="799EA0A3" w14:textId="77777777">
        <w:trPr>
          <w:jc w:val="center"/>
        </w:trPr>
        <w:tc>
          <w:tcPr>
            <w:tcW w:w="3117" w:type="dxa"/>
          </w:tcPr>
          <w:p w14:paraId="69166BF3" w14:textId="3EF47D97" w:rsidR="00FF1DCE" w:rsidRPr="00280DAF" w:rsidRDefault="00FF1DCE" w:rsidP="00FE2B91">
            <w:pPr>
              <w:spacing w:before="120" w:after="120" w:line="300" w:lineRule="atLeast"/>
              <w:jc w:val="center"/>
              <w:rPr>
                <w:rFonts w:asciiTheme="majorHAnsi" w:hAnsiTheme="majorHAnsi"/>
                <w:color w:val="000000"/>
              </w:rPr>
            </w:pPr>
            <w:r w:rsidRPr="00280DAF">
              <w:rPr>
                <w:rFonts w:asciiTheme="majorHAnsi" w:hAnsiTheme="majorHAnsi"/>
                <w:color w:val="000000"/>
              </w:rPr>
              <w:t>$2</w:t>
            </w:r>
            <w:r w:rsidR="0057616C" w:rsidRPr="00280DAF">
              <w:rPr>
                <w:rFonts w:asciiTheme="majorHAnsi" w:hAnsiTheme="majorHAnsi"/>
                <w:color w:val="000000"/>
              </w:rPr>
              <w:t>8.9</w:t>
            </w:r>
            <w:r w:rsidR="000A3D59" w:rsidRPr="00280DAF">
              <w:rPr>
                <w:rFonts w:asciiTheme="majorHAnsi" w:hAnsiTheme="majorHAnsi"/>
                <w:color w:val="000000"/>
              </w:rPr>
              <w:t xml:space="preserve"> </w:t>
            </w:r>
            <w:r w:rsidRPr="00280DAF">
              <w:rPr>
                <w:rFonts w:asciiTheme="majorHAnsi" w:hAnsiTheme="majorHAnsi"/>
                <w:color w:val="000000"/>
              </w:rPr>
              <w:t>billion</w:t>
            </w:r>
          </w:p>
          <w:p w14:paraId="61442A29" w14:textId="246E6384" w:rsidR="00FF1DCE" w:rsidRPr="00280DAF" w:rsidRDefault="002E264E" w:rsidP="00FE2B91">
            <w:pPr>
              <w:spacing w:before="120" w:after="120" w:line="300" w:lineRule="atLeast"/>
              <w:jc w:val="center"/>
              <w:rPr>
                <w:rFonts w:asciiTheme="majorHAnsi" w:hAnsiTheme="majorHAnsi"/>
              </w:rPr>
            </w:pPr>
            <w:r w:rsidRPr="002E264E">
              <w:rPr>
                <w:rFonts w:asciiTheme="majorHAnsi" w:hAnsiTheme="majorHAnsi"/>
                <w:color w:val="000000"/>
              </w:rPr>
              <w:t>1</w:t>
            </w:r>
            <w:r w:rsidR="00FF1DCE" w:rsidRPr="00280DAF">
              <w:rPr>
                <w:rFonts w:asciiTheme="majorHAnsi" w:hAnsiTheme="majorHAnsi"/>
                <w:color w:val="000000"/>
              </w:rPr>
              <w:t>6</w:t>
            </w:r>
            <w:r w:rsidR="00457284">
              <w:rPr>
                <w:rFonts w:asciiTheme="majorHAnsi" w:hAnsiTheme="majorHAnsi"/>
                <w:color w:val="000000"/>
              </w:rPr>
              <w:t>0</w:t>
            </w:r>
            <w:r w:rsidR="00FF1DCE" w:rsidRPr="00280DAF">
              <w:rPr>
                <w:rFonts w:asciiTheme="majorHAnsi" w:hAnsiTheme="majorHAnsi"/>
                <w:color w:val="000000"/>
              </w:rPr>
              <w:t xml:space="preserve"> projects</w:t>
            </w:r>
          </w:p>
        </w:tc>
        <w:tc>
          <w:tcPr>
            <w:tcW w:w="3116" w:type="dxa"/>
          </w:tcPr>
          <w:p w14:paraId="0F125830" w14:textId="16C2332F" w:rsidR="00FF1DCE" w:rsidRPr="00280DAF" w:rsidRDefault="00FF1DCE" w:rsidP="00FE2B91">
            <w:pPr>
              <w:spacing w:before="120" w:after="120" w:line="300" w:lineRule="atLeast"/>
              <w:jc w:val="center"/>
              <w:rPr>
                <w:rFonts w:asciiTheme="majorHAnsi" w:hAnsiTheme="majorHAnsi"/>
                <w:color w:val="000000"/>
              </w:rPr>
            </w:pPr>
            <w:r w:rsidRPr="00280DAF">
              <w:rPr>
                <w:rFonts w:asciiTheme="majorHAnsi" w:hAnsiTheme="majorHAnsi"/>
                <w:color w:val="000000"/>
              </w:rPr>
              <w:t>$2</w:t>
            </w:r>
            <w:r w:rsidR="00C15B23" w:rsidRPr="00280DAF">
              <w:rPr>
                <w:rFonts w:asciiTheme="majorHAnsi" w:hAnsiTheme="majorHAnsi"/>
                <w:color w:val="000000"/>
              </w:rPr>
              <w:t>3.</w:t>
            </w:r>
            <w:r w:rsidR="00425D27">
              <w:rPr>
                <w:rFonts w:asciiTheme="majorHAnsi" w:hAnsiTheme="majorHAnsi"/>
                <w:color w:val="000000"/>
              </w:rPr>
              <w:t>7</w:t>
            </w:r>
            <w:r w:rsidRPr="00280DAF">
              <w:rPr>
                <w:rFonts w:asciiTheme="majorHAnsi" w:hAnsiTheme="majorHAnsi"/>
                <w:color w:val="000000"/>
              </w:rPr>
              <w:t xml:space="preserve"> billion </w:t>
            </w:r>
          </w:p>
          <w:p w14:paraId="4DCDF57D" w14:textId="3D3D32D1" w:rsidR="00FF1DCE" w:rsidRPr="00280DAF" w:rsidRDefault="00FF1DCE" w:rsidP="00FE2B91">
            <w:pPr>
              <w:spacing w:before="120" w:after="120" w:line="300" w:lineRule="atLeast"/>
              <w:jc w:val="center"/>
              <w:rPr>
                <w:rFonts w:asciiTheme="majorHAnsi" w:hAnsiTheme="majorHAnsi"/>
              </w:rPr>
            </w:pPr>
            <w:r w:rsidRPr="00280DAF">
              <w:rPr>
                <w:rFonts w:asciiTheme="majorHAnsi" w:hAnsiTheme="majorHAnsi"/>
              </w:rPr>
              <w:t>10</w:t>
            </w:r>
            <w:r w:rsidR="00CE114D" w:rsidRPr="00280DAF">
              <w:rPr>
                <w:rFonts w:asciiTheme="majorHAnsi" w:hAnsiTheme="majorHAnsi"/>
              </w:rPr>
              <w:t>6</w:t>
            </w:r>
            <w:r w:rsidRPr="00280DAF">
              <w:rPr>
                <w:rFonts w:asciiTheme="majorHAnsi" w:hAnsiTheme="majorHAnsi"/>
              </w:rPr>
              <w:t xml:space="preserve"> projects</w:t>
            </w:r>
          </w:p>
        </w:tc>
        <w:tc>
          <w:tcPr>
            <w:tcW w:w="3117" w:type="dxa"/>
          </w:tcPr>
          <w:p w14:paraId="714FA442" w14:textId="29367080" w:rsidR="00FF1DCE" w:rsidRPr="00280DAF" w:rsidRDefault="00FF1DCE" w:rsidP="00FE2B91">
            <w:pPr>
              <w:spacing w:before="120" w:after="120" w:line="300" w:lineRule="atLeast"/>
              <w:jc w:val="center"/>
              <w:rPr>
                <w:rFonts w:asciiTheme="majorHAnsi" w:hAnsiTheme="majorHAnsi"/>
                <w:color w:val="000000"/>
              </w:rPr>
            </w:pPr>
            <w:r w:rsidRPr="00280DAF">
              <w:rPr>
                <w:rFonts w:asciiTheme="majorHAnsi" w:hAnsiTheme="majorHAnsi"/>
                <w:color w:val="000000"/>
              </w:rPr>
              <w:t>$</w:t>
            </w:r>
            <w:r w:rsidR="00481B8A" w:rsidRPr="00280DAF">
              <w:rPr>
                <w:rFonts w:asciiTheme="majorHAnsi" w:hAnsiTheme="majorHAnsi"/>
                <w:color w:val="000000"/>
              </w:rPr>
              <w:t>5.</w:t>
            </w:r>
            <w:r w:rsidR="00214ED1">
              <w:rPr>
                <w:rFonts w:asciiTheme="majorHAnsi" w:hAnsiTheme="majorHAnsi"/>
                <w:color w:val="000000"/>
              </w:rPr>
              <w:t>2</w:t>
            </w:r>
            <w:r w:rsidRPr="00280DAF">
              <w:rPr>
                <w:rFonts w:asciiTheme="majorHAnsi" w:hAnsiTheme="majorHAnsi"/>
                <w:color w:val="000000"/>
              </w:rPr>
              <w:t xml:space="preserve"> billion</w:t>
            </w:r>
          </w:p>
          <w:p w14:paraId="766E1EC0" w14:textId="55A36173" w:rsidR="00FF1DCE" w:rsidRPr="00942686" w:rsidRDefault="00CE114D" w:rsidP="00FE2B91">
            <w:pPr>
              <w:spacing w:before="120" w:after="120" w:line="300" w:lineRule="atLeast"/>
              <w:jc w:val="center"/>
              <w:rPr>
                <w:rFonts w:asciiTheme="majorHAnsi" w:hAnsiTheme="majorHAnsi"/>
                <w:color w:val="000000"/>
              </w:rPr>
            </w:pPr>
            <w:r w:rsidRPr="00280DAF">
              <w:rPr>
                <w:rFonts w:asciiTheme="majorHAnsi" w:hAnsiTheme="majorHAnsi"/>
                <w:color w:val="000000"/>
              </w:rPr>
              <w:t>5</w:t>
            </w:r>
            <w:r w:rsidR="00214ED1">
              <w:rPr>
                <w:rFonts w:asciiTheme="majorHAnsi" w:hAnsiTheme="majorHAnsi"/>
                <w:color w:val="000000"/>
              </w:rPr>
              <w:t>4</w:t>
            </w:r>
            <w:r w:rsidR="00FF1DCE" w:rsidRPr="00280DAF">
              <w:rPr>
                <w:rFonts w:asciiTheme="majorHAnsi" w:hAnsiTheme="majorHAnsi"/>
                <w:color w:val="000000"/>
              </w:rPr>
              <w:t xml:space="preserve"> projects</w:t>
            </w:r>
          </w:p>
        </w:tc>
      </w:tr>
      <w:tr w:rsidR="00FF1DCE" w:rsidRPr="00280DAF" w14:paraId="500D5418" w14:textId="77777777">
        <w:trPr>
          <w:jc w:val="center"/>
        </w:trPr>
        <w:tc>
          <w:tcPr>
            <w:tcW w:w="3117" w:type="dxa"/>
          </w:tcPr>
          <w:p w14:paraId="7A0B9A5A" w14:textId="3BFDFC9E" w:rsidR="00FF1DCE" w:rsidRPr="00280DAF" w:rsidRDefault="00FF1DCE" w:rsidP="00FE2B91">
            <w:pPr>
              <w:spacing w:before="120" w:after="120" w:line="300" w:lineRule="atLeast"/>
              <w:jc w:val="center"/>
              <w:rPr>
                <w:rFonts w:asciiTheme="majorHAnsi" w:hAnsiTheme="majorHAnsi"/>
                <w:color w:val="000000"/>
              </w:rPr>
            </w:pPr>
            <w:r w:rsidRPr="00280DAF">
              <w:rPr>
                <w:rFonts w:asciiTheme="majorHAnsi" w:hAnsiTheme="majorHAnsi"/>
                <w:color w:val="000000"/>
              </w:rPr>
              <w:t>Change from 2022</w:t>
            </w:r>
            <w:r w:rsidR="0039522C">
              <w:rPr>
                <w:rFonts w:asciiTheme="majorHAnsi" w:hAnsiTheme="majorHAnsi"/>
                <w:color w:val="000000"/>
              </w:rPr>
              <w:t>–</w:t>
            </w:r>
            <w:r w:rsidRPr="00280DAF">
              <w:rPr>
                <w:rFonts w:asciiTheme="majorHAnsi" w:hAnsiTheme="majorHAnsi"/>
                <w:color w:val="000000"/>
              </w:rPr>
              <w:t>23:</w:t>
            </w:r>
          </w:p>
          <w:p w14:paraId="2A2D5C04" w14:textId="60A54D9F" w:rsidR="00FF1DCE" w:rsidRPr="00280DAF" w:rsidRDefault="00FF1DCE" w:rsidP="00FE2B91">
            <w:pPr>
              <w:spacing w:before="120" w:after="120" w:line="300" w:lineRule="atLeast"/>
              <w:jc w:val="center"/>
              <w:rPr>
                <w:rFonts w:asciiTheme="majorHAnsi" w:hAnsiTheme="majorHAnsi"/>
                <w:color w:val="000000"/>
              </w:rPr>
            </w:pPr>
            <w:r w:rsidRPr="00280DAF">
              <w:rPr>
                <w:rFonts w:asciiTheme="majorHAnsi" w:hAnsiTheme="majorHAnsi"/>
                <w:color w:val="000000"/>
              </w:rPr>
              <w:t>Up $</w:t>
            </w:r>
            <w:r w:rsidR="003762EC" w:rsidRPr="00280DAF">
              <w:rPr>
                <w:rFonts w:asciiTheme="majorHAnsi" w:hAnsiTheme="majorHAnsi"/>
                <w:color w:val="000000"/>
              </w:rPr>
              <w:t>3.8</w:t>
            </w:r>
            <w:r w:rsidRPr="00280DAF">
              <w:rPr>
                <w:rFonts w:asciiTheme="majorHAnsi" w:hAnsiTheme="majorHAnsi"/>
                <w:color w:val="000000"/>
              </w:rPr>
              <w:t xml:space="preserve"> billion</w:t>
            </w:r>
          </w:p>
          <w:p w14:paraId="64B8C89E" w14:textId="41AEF7F3" w:rsidR="00FF1DCE" w:rsidRPr="00280DAF" w:rsidRDefault="00FF1DCE" w:rsidP="00FE2B91">
            <w:pPr>
              <w:spacing w:before="120" w:after="120" w:line="300" w:lineRule="atLeast"/>
              <w:jc w:val="center"/>
              <w:rPr>
                <w:rFonts w:asciiTheme="majorHAnsi" w:hAnsiTheme="majorHAnsi"/>
                <w:color w:val="000000"/>
              </w:rPr>
            </w:pPr>
            <w:r w:rsidRPr="00280DAF">
              <w:rPr>
                <w:rFonts w:asciiTheme="majorHAnsi" w:hAnsiTheme="majorHAnsi"/>
                <w:color w:val="000000"/>
              </w:rPr>
              <w:t>Up 3</w:t>
            </w:r>
            <w:r w:rsidR="00457284">
              <w:rPr>
                <w:rFonts w:asciiTheme="majorHAnsi" w:hAnsiTheme="majorHAnsi"/>
                <w:color w:val="000000"/>
              </w:rPr>
              <w:t>1</w:t>
            </w:r>
            <w:r w:rsidRPr="00280DAF">
              <w:rPr>
                <w:rFonts w:asciiTheme="majorHAnsi" w:hAnsiTheme="majorHAnsi"/>
                <w:color w:val="000000"/>
              </w:rPr>
              <w:t xml:space="preserve"> projects</w:t>
            </w:r>
          </w:p>
        </w:tc>
        <w:tc>
          <w:tcPr>
            <w:tcW w:w="3116" w:type="dxa"/>
          </w:tcPr>
          <w:p w14:paraId="1FF53E3A" w14:textId="06518C06" w:rsidR="00FF1DCE" w:rsidRPr="00280DAF" w:rsidRDefault="00FF1DCE" w:rsidP="00FE2B91">
            <w:pPr>
              <w:spacing w:before="120" w:after="120" w:line="300" w:lineRule="atLeast"/>
              <w:jc w:val="center"/>
              <w:rPr>
                <w:rFonts w:asciiTheme="majorHAnsi" w:hAnsiTheme="majorHAnsi"/>
              </w:rPr>
            </w:pPr>
            <w:r w:rsidRPr="00280DAF">
              <w:rPr>
                <w:rFonts w:asciiTheme="majorHAnsi" w:hAnsiTheme="majorHAnsi"/>
                <w:color w:val="000000"/>
              </w:rPr>
              <w:t>Change from 2022</w:t>
            </w:r>
            <w:r w:rsidR="0039522C">
              <w:rPr>
                <w:rFonts w:asciiTheme="majorHAnsi" w:hAnsiTheme="majorHAnsi"/>
                <w:color w:val="000000"/>
              </w:rPr>
              <w:t>–</w:t>
            </w:r>
            <w:r w:rsidRPr="00280DAF">
              <w:rPr>
                <w:rFonts w:asciiTheme="majorHAnsi" w:hAnsiTheme="majorHAnsi"/>
                <w:color w:val="000000"/>
              </w:rPr>
              <w:t>23</w:t>
            </w:r>
            <w:r w:rsidRPr="00280DAF">
              <w:rPr>
                <w:rFonts w:asciiTheme="majorHAnsi" w:hAnsiTheme="majorHAnsi"/>
              </w:rPr>
              <w:t xml:space="preserve">: </w:t>
            </w:r>
          </w:p>
          <w:p w14:paraId="1E60EEF8" w14:textId="4C4D9F80" w:rsidR="00FF1DCE" w:rsidRPr="00280DAF" w:rsidRDefault="00FF1DCE" w:rsidP="00FE2B91">
            <w:pPr>
              <w:spacing w:before="120" w:after="120" w:line="300" w:lineRule="atLeast"/>
              <w:jc w:val="center"/>
              <w:rPr>
                <w:rFonts w:asciiTheme="majorHAnsi" w:hAnsiTheme="majorHAnsi"/>
              </w:rPr>
            </w:pPr>
            <w:r w:rsidRPr="00280DAF">
              <w:rPr>
                <w:rFonts w:asciiTheme="majorHAnsi" w:hAnsiTheme="majorHAnsi"/>
                <w:color w:val="000000"/>
              </w:rPr>
              <w:t>Up $3.</w:t>
            </w:r>
            <w:r w:rsidR="003762EC" w:rsidRPr="00280DAF">
              <w:rPr>
                <w:rFonts w:asciiTheme="majorHAnsi" w:hAnsiTheme="majorHAnsi"/>
                <w:color w:val="000000"/>
              </w:rPr>
              <w:t>0</w:t>
            </w:r>
            <w:r w:rsidRPr="00280DAF">
              <w:rPr>
                <w:rFonts w:asciiTheme="majorHAnsi" w:hAnsiTheme="majorHAnsi"/>
                <w:color w:val="000000"/>
              </w:rPr>
              <w:t xml:space="preserve"> billion</w:t>
            </w:r>
            <w:r w:rsidRPr="00280DAF">
              <w:rPr>
                <w:rFonts w:asciiTheme="majorHAnsi" w:hAnsiTheme="majorHAnsi"/>
              </w:rPr>
              <w:t xml:space="preserve"> </w:t>
            </w:r>
          </w:p>
          <w:p w14:paraId="07BC66E8" w14:textId="22C20C57" w:rsidR="00FF1DCE" w:rsidRPr="00280DAF" w:rsidRDefault="00FF1DCE" w:rsidP="00FE2B91">
            <w:pPr>
              <w:spacing w:before="120" w:after="120" w:line="300" w:lineRule="atLeast"/>
              <w:jc w:val="center"/>
              <w:rPr>
                <w:rFonts w:asciiTheme="majorHAnsi" w:hAnsiTheme="majorHAnsi"/>
              </w:rPr>
            </w:pPr>
            <w:r w:rsidRPr="00280DAF">
              <w:rPr>
                <w:rFonts w:asciiTheme="majorHAnsi" w:hAnsiTheme="majorHAnsi"/>
                <w:color w:val="000000"/>
              </w:rPr>
              <w:t>Up 2</w:t>
            </w:r>
            <w:r w:rsidR="00BF2CD9" w:rsidRPr="00280DAF">
              <w:rPr>
                <w:rFonts w:asciiTheme="majorHAnsi" w:hAnsiTheme="majorHAnsi"/>
                <w:color w:val="000000"/>
              </w:rPr>
              <w:t>6</w:t>
            </w:r>
            <w:r w:rsidRPr="00280DAF">
              <w:rPr>
                <w:rFonts w:asciiTheme="majorHAnsi" w:hAnsiTheme="majorHAnsi"/>
                <w:color w:val="000000"/>
              </w:rPr>
              <w:t xml:space="preserve"> projects</w:t>
            </w:r>
          </w:p>
        </w:tc>
        <w:tc>
          <w:tcPr>
            <w:tcW w:w="3117" w:type="dxa"/>
          </w:tcPr>
          <w:p w14:paraId="61C47858" w14:textId="1251FE27" w:rsidR="00FF1DCE" w:rsidRPr="00280DAF" w:rsidRDefault="00FF1DCE" w:rsidP="00FE2B91">
            <w:pPr>
              <w:spacing w:before="120" w:after="120" w:line="300" w:lineRule="atLeast"/>
              <w:jc w:val="center"/>
              <w:rPr>
                <w:rFonts w:asciiTheme="majorHAnsi" w:hAnsiTheme="majorHAnsi"/>
              </w:rPr>
            </w:pPr>
            <w:r w:rsidRPr="00280DAF">
              <w:rPr>
                <w:rFonts w:asciiTheme="majorHAnsi" w:hAnsiTheme="majorHAnsi"/>
                <w:color w:val="000000"/>
              </w:rPr>
              <w:t>Change from 2022</w:t>
            </w:r>
            <w:r w:rsidR="0039522C">
              <w:rPr>
                <w:rFonts w:asciiTheme="majorHAnsi" w:hAnsiTheme="majorHAnsi"/>
                <w:color w:val="000000"/>
              </w:rPr>
              <w:t>–</w:t>
            </w:r>
            <w:r w:rsidRPr="00280DAF">
              <w:rPr>
                <w:rFonts w:asciiTheme="majorHAnsi" w:hAnsiTheme="majorHAnsi"/>
                <w:color w:val="000000"/>
              </w:rPr>
              <w:t>23</w:t>
            </w:r>
            <w:r w:rsidRPr="00280DAF">
              <w:rPr>
                <w:rFonts w:asciiTheme="majorHAnsi" w:hAnsiTheme="majorHAnsi"/>
              </w:rPr>
              <w:t xml:space="preserve">: </w:t>
            </w:r>
          </w:p>
          <w:p w14:paraId="4949AC4C" w14:textId="1C242181" w:rsidR="00FF1DCE" w:rsidRPr="00280DAF" w:rsidRDefault="00FF1DCE" w:rsidP="00FE2B91">
            <w:pPr>
              <w:spacing w:before="120" w:after="120" w:line="300" w:lineRule="atLeast"/>
              <w:jc w:val="center"/>
              <w:rPr>
                <w:rFonts w:asciiTheme="majorHAnsi" w:hAnsiTheme="majorHAnsi"/>
              </w:rPr>
            </w:pPr>
            <w:r w:rsidRPr="00280DAF">
              <w:rPr>
                <w:rFonts w:asciiTheme="majorHAnsi" w:hAnsiTheme="majorHAnsi"/>
                <w:color w:val="000000"/>
              </w:rPr>
              <w:t>Up $</w:t>
            </w:r>
            <w:r w:rsidR="003762EC" w:rsidRPr="00280DAF">
              <w:rPr>
                <w:rFonts w:asciiTheme="majorHAnsi" w:hAnsiTheme="majorHAnsi"/>
                <w:color w:val="000000"/>
              </w:rPr>
              <w:t>0</w:t>
            </w:r>
            <w:r w:rsidR="00214ED1">
              <w:rPr>
                <w:rFonts w:asciiTheme="majorHAnsi" w:hAnsiTheme="majorHAnsi"/>
                <w:color w:val="000000"/>
              </w:rPr>
              <w:t>.9</w:t>
            </w:r>
            <w:r w:rsidRPr="00280DAF">
              <w:rPr>
                <w:rFonts w:asciiTheme="majorHAnsi" w:hAnsiTheme="majorHAnsi"/>
                <w:color w:val="000000"/>
              </w:rPr>
              <w:t xml:space="preserve"> billion</w:t>
            </w:r>
            <w:r w:rsidRPr="00280DAF">
              <w:rPr>
                <w:rFonts w:asciiTheme="majorHAnsi" w:hAnsiTheme="majorHAnsi"/>
              </w:rPr>
              <w:t xml:space="preserve"> </w:t>
            </w:r>
          </w:p>
          <w:p w14:paraId="2A63C1C4" w14:textId="1D4E0DC2" w:rsidR="00FF1DCE" w:rsidRPr="00280DAF" w:rsidRDefault="00FF1DCE" w:rsidP="00FE2B91">
            <w:pPr>
              <w:spacing w:before="120" w:after="120" w:line="300" w:lineRule="atLeast"/>
              <w:jc w:val="center"/>
              <w:rPr>
                <w:rFonts w:asciiTheme="majorHAnsi" w:hAnsiTheme="majorHAnsi"/>
                <w:lang w:eastAsia="en-AU"/>
              </w:rPr>
            </w:pPr>
            <w:r w:rsidRPr="00280DAF">
              <w:rPr>
                <w:rFonts w:asciiTheme="majorHAnsi" w:hAnsiTheme="majorHAnsi"/>
                <w:color w:val="000000"/>
              </w:rPr>
              <w:t xml:space="preserve">Up </w:t>
            </w:r>
            <w:r w:rsidR="00214ED1">
              <w:rPr>
                <w:rFonts w:asciiTheme="majorHAnsi" w:hAnsiTheme="majorHAnsi"/>
                <w:color w:val="000000"/>
              </w:rPr>
              <w:t>5</w:t>
            </w:r>
            <w:r w:rsidRPr="00280DAF">
              <w:rPr>
                <w:rFonts w:asciiTheme="majorHAnsi" w:hAnsiTheme="majorHAnsi"/>
                <w:color w:val="000000"/>
              </w:rPr>
              <w:t xml:space="preserve"> projects </w:t>
            </w:r>
          </w:p>
        </w:tc>
      </w:tr>
    </w:tbl>
    <w:p w14:paraId="718B303C" w14:textId="77777777" w:rsidR="0019328E" w:rsidRDefault="0019328E" w:rsidP="00A87E4A"/>
    <w:bookmarkEnd w:id="102"/>
    <w:bookmarkEnd w:id="103"/>
    <w:bookmarkEnd w:id="104"/>
    <w:bookmarkEnd w:id="105"/>
    <w:p w14:paraId="6D2BA23B" w14:textId="1DB65291" w:rsidR="00546806" w:rsidRDefault="00EB790B" w:rsidP="00A87E4A">
      <w:r w:rsidRPr="00280DAF">
        <w:t>Arts, recreation, and business services are a key driver of visitor demand. They</w:t>
      </w:r>
      <w:r w:rsidR="00A87E4A" w:rsidRPr="00280DAF">
        <w:t xml:space="preserve"> </w:t>
      </w:r>
      <w:r w:rsidRPr="00280DAF">
        <w:t xml:space="preserve">are the services and attractions that continue to enable and enhance the visitor experience </w:t>
      </w:r>
      <w:r w:rsidR="00A87E4A" w:rsidRPr="00280DAF">
        <w:t xml:space="preserve">and </w:t>
      </w:r>
      <w:r w:rsidRPr="00280DAF">
        <w:t>make a city, town, or region a strong tourism drawcard.</w:t>
      </w:r>
      <w:r w:rsidR="00A87E4A" w:rsidRPr="00280DAF">
        <w:t xml:space="preserve"> </w:t>
      </w:r>
      <w:r w:rsidR="00166667">
        <w:t xml:space="preserve">While </w:t>
      </w:r>
      <w:r w:rsidR="00A87E4A" w:rsidRPr="00280DAF">
        <w:t>202</w:t>
      </w:r>
      <w:r w:rsidR="00115AB1" w:rsidRPr="00280DAF">
        <w:t>2</w:t>
      </w:r>
      <w:r w:rsidR="0039522C">
        <w:t>–</w:t>
      </w:r>
      <w:r w:rsidR="00A87E4A" w:rsidRPr="00280DAF">
        <w:t>202</w:t>
      </w:r>
      <w:r w:rsidR="00115AB1" w:rsidRPr="00280DAF">
        <w:t>3</w:t>
      </w:r>
      <w:r w:rsidR="00166667">
        <w:t xml:space="preserve"> saw </w:t>
      </w:r>
      <w:r w:rsidR="0003215D" w:rsidRPr="00280DAF">
        <w:t>a vast increase in projects</w:t>
      </w:r>
      <w:r w:rsidR="00166667">
        <w:t>, i</w:t>
      </w:r>
      <w:r w:rsidR="003C0AF1" w:rsidRPr="00280DAF">
        <w:t>n 2023</w:t>
      </w:r>
      <w:r w:rsidR="0039522C">
        <w:t>–</w:t>
      </w:r>
      <w:r w:rsidR="003C0AF1" w:rsidRPr="00280DAF">
        <w:t xml:space="preserve">24 </w:t>
      </w:r>
      <w:r w:rsidR="00546806">
        <w:t>project investment and project numbers again increased, but at a slower rate.</w:t>
      </w:r>
    </w:p>
    <w:p w14:paraId="30FBE5B2" w14:textId="75FE7692" w:rsidR="00EB790B" w:rsidRPr="00280DAF" w:rsidRDefault="00EB790B" w:rsidP="00EB790B">
      <w:r w:rsidRPr="00280DAF">
        <w:t xml:space="preserve">In </w:t>
      </w:r>
      <w:r w:rsidR="007E3F7A" w:rsidRPr="00280DAF">
        <w:t>2023</w:t>
      </w:r>
      <w:r w:rsidR="0039522C">
        <w:t>–</w:t>
      </w:r>
      <w:r w:rsidR="007E3F7A" w:rsidRPr="00280DAF">
        <w:t>24</w:t>
      </w:r>
      <w:r w:rsidRPr="00280DAF">
        <w:t xml:space="preserve">, there were </w:t>
      </w:r>
      <w:r w:rsidR="002E264E" w:rsidRPr="002E264E">
        <w:t>1</w:t>
      </w:r>
      <w:r w:rsidR="00B26FCE" w:rsidRPr="00280DAF">
        <w:t>6</w:t>
      </w:r>
      <w:r w:rsidR="00214ED1">
        <w:t>0</w:t>
      </w:r>
      <w:r w:rsidRPr="00280DAF">
        <w:t xml:space="preserve"> arts, recreation, and business services projects in the pipeline valued at $2</w:t>
      </w:r>
      <w:r w:rsidR="004F31D8" w:rsidRPr="00280DAF">
        <w:t>8.9</w:t>
      </w:r>
      <w:r w:rsidRPr="00280DAF">
        <w:t xml:space="preserve"> billion (Figure 6). This was up </w:t>
      </w:r>
      <w:r w:rsidR="00115AB1" w:rsidRPr="00280DAF">
        <w:t>3</w:t>
      </w:r>
      <w:r w:rsidR="00D43A18">
        <w:t>1</w:t>
      </w:r>
      <w:r w:rsidRPr="00280DAF">
        <w:t xml:space="preserve"> projects and $</w:t>
      </w:r>
      <w:r w:rsidR="00645AC7" w:rsidRPr="00280DAF">
        <w:t>3.8</w:t>
      </w:r>
      <w:r w:rsidRPr="00280DAF">
        <w:t xml:space="preserve"> billion in value on the pipeline in 202</w:t>
      </w:r>
      <w:r w:rsidR="00115AB1" w:rsidRPr="00280DAF">
        <w:t>2</w:t>
      </w:r>
      <w:r w:rsidR="0039522C">
        <w:t>–</w:t>
      </w:r>
      <w:r w:rsidRPr="00280DAF">
        <w:t>2</w:t>
      </w:r>
      <w:r w:rsidR="00115AB1" w:rsidRPr="00280DAF">
        <w:t>3</w:t>
      </w:r>
      <w:r w:rsidRPr="00280DAF">
        <w:t xml:space="preserve">. </w:t>
      </w:r>
    </w:p>
    <w:p w14:paraId="4AA7BB40" w14:textId="16F5DFDE" w:rsidR="00EB790B" w:rsidRPr="00280DAF" w:rsidRDefault="000737DC" w:rsidP="00EB790B">
      <w:r>
        <w:t>Five</w:t>
      </w:r>
      <w:r w:rsidR="00EB790B" w:rsidRPr="00280DAF">
        <w:t xml:space="preserve"> projects </w:t>
      </w:r>
      <w:r>
        <w:t xml:space="preserve">across three states accounted for </w:t>
      </w:r>
      <w:r w:rsidR="00E75446">
        <w:t xml:space="preserve">a third of </w:t>
      </w:r>
      <w:r w:rsidR="00307573">
        <w:t xml:space="preserve">project investment </w:t>
      </w:r>
      <w:r w:rsidR="00EB790B" w:rsidRPr="00280DAF">
        <w:t>in the arts, recreation, and business services pipeline:</w:t>
      </w:r>
    </w:p>
    <w:p w14:paraId="3DFD8CB1" w14:textId="0769CBCB" w:rsidR="00EB790B" w:rsidRPr="00280DAF" w:rsidRDefault="00EB790B" w:rsidP="00A9784D">
      <w:pPr>
        <w:pStyle w:val="BulletList"/>
      </w:pPr>
      <w:r w:rsidRPr="00280DAF">
        <w:t>New Brisbane Arena entertainment precinct</w:t>
      </w:r>
      <w:r w:rsidR="00B8252F">
        <w:t xml:space="preserve">, </w:t>
      </w:r>
      <w:r w:rsidR="00307573">
        <w:t>QLD</w:t>
      </w:r>
      <w:r w:rsidRPr="00280DAF">
        <w:t xml:space="preserve"> (in planning) – $2.5 billion</w:t>
      </w:r>
    </w:p>
    <w:p w14:paraId="430B4342" w14:textId="033EBABC" w:rsidR="00EB790B" w:rsidRPr="00513D6F" w:rsidRDefault="00EB790B" w:rsidP="00A9784D">
      <w:pPr>
        <w:pStyle w:val="BulletList"/>
      </w:pPr>
      <w:r w:rsidRPr="00280DAF">
        <w:t>New and</w:t>
      </w:r>
      <w:r w:rsidRPr="00513D6F">
        <w:t xml:space="preserve"> upgraded venues for Brisbane hosting of the 2032 Olympic Games</w:t>
      </w:r>
      <w:r w:rsidR="00B8252F">
        <w:t>, QLD</w:t>
      </w:r>
      <w:r w:rsidRPr="00513D6F">
        <w:t xml:space="preserve"> (new and in planning) – $1.9 billion</w:t>
      </w:r>
    </w:p>
    <w:p w14:paraId="22201677" w14:textId="73D3AFC5" w:rsidR="00EB790B" w:rsidRPr="00513D6F" w:rsidRDefault="00EB790B" w:rsidP="00A9784D">
      <w:pPr>
        <w:pStyle w:val="BulletList"/>
      </w:pPr>
      <w:r w:rsidRPr="00513D6F">
        <w:t>Redevelopment of Melbourne Arts Precinct</w:t>
      </w:r>
      <w:r w:rsidR="00B8252F">
        <w:t>, VIC</w:t>
      </w:r>
      <w:r w:rsidRPr="00513D6F">
        <w:t xml:space="preserve"> (under construction) – $1.7 billion </w:t>
      </w:r>
    </w:p>
    <w:p w14:paraId="689431E3" w14:textId="4BCA755A" w:rsidR="00671ACD" w:rsidRPr="00513D6F" w:rsidRDefault="00671ACD" w:rsidP="00A9784D">
      <w:pPr>
        <w:pStyle w:val="BulletList"/>
      </w:pPr>
      <w:r w:rsidRPr="00513D6F">
        <w:t>Moore Park Entertainment Quarter</w:t>
      </w:r>
      <w:r w:rsidR="00B8252F">
        <w:t xml:space="preserve">, NSW </w:t>
      </w:r>
      <w:r w:rsidRPr="00513D6F">
        <w:t xml:space="preserve">(proposed) </w:t>
      </w:r>
      <w:r w:rsidR="0039522C">
        <w:t>–</w:t>
      </w:r>
      <w:r w:rsidRPr="00513D6F">
        <w:t xml:space="preserve"> $1.5 billion </w:t>
      </w:r>
    </w:p>
    <w:p w14:paraId="7209AA14" w14:textId="77777777" w:rsidR="00EB790B" w:rsidRPr="00280DAF" w:rsidRDefault="00EB790B" w:rsidP="00EB790B">
      <w:pPr>
        <w:pStyle w:val="Heading3"/>
      </w:pPr>
      <w:bookmarkStart w:id="106" w:name="_Toc95805106"/>
      <w:bookmarkStart w:id="107" w:name="_Toc95899269"/>
      <w:bookmarkStart w:id="108" w:name="_Toc95899351"/>
      <w:bookmarkStart w:id="109" w:name="_Toc126933044"/>
      <w:bookmarkStart w:id="110" w:name="_Toc126933928"/>
      <w:bookmarkStart w:id="111" w:name="_Toc783037348"/>
      <w:bookmarkStart w:id="112" w:name="_Toc188024236"/>
      <w:bookmarkStart w:id="113" w:name="_Toc189145270"/>
      <w:bookmarkStart w:id="114" w:name="_Toc190084772"/>
      <w:r w:rsidRPr="00280DAF">
        <w:t>Breakdown by project phase</w:t>
      </w:r>
      <w:bookmarkEnd w:id="106"/>
      <w:bookmarkEnd w:id="107"/>
      <w:bookmarkEnd w:id="108"/>
      <w:bookmarkEnd w:id="109"/>
      <w:bookmarkEnd w:id="110"/>
      <w:bookmarkEnd w:id="111"/>
      <w:bookmarkEnd w:id="112"/>
      <w:bookmarkEnd w:id="113"/>
      <w:bookmarkEnd w:id="114"/>
    </w:p>
    <w:p w14:paraId="77CEA631" w14:textId="77777777" w:rsidR="00EB790B" w:rsidRPr="00280DAF" w:rsidRDefault="00EB790B" w:rsidP="00EB790B">
      <w:pPr>
        <w:pStyle w:val="Heading5"/>
      </w:pPr>
      <w:r w:rsidRPr="00280DAF">
        <w:t>New projects</w:t>
      </w:r>
    </w:p>
    <w:p w14:paraId="4DCA996A" w14:textId="21BF1517" w:rsidR="00EB790B" w:rsidRPr="00280DAF" w:rsidRDefault="00EB790B" w:rsidP="00EB790B">
      <w:r w:rsidRPr="00280DAF">
        <w:t xml:space="preserve">There were </w:t>
      </w:r>
      <w:r w:rsidR="00537A0D" w:rsidRPr="00280DAF">
        <w:t>52</w:t>
      </w:r>
      <w:r w:rsidRPr="00280DAF">
        <w:t xml:space="preserve"> new arts, recreation, and business services projects added to the </w:t>
      </w:r>
      <w:r w:rsidR="007E3F7A" w:rsidRPr="00280DAF">
        <w:t>2023</w:t>
      </w:r>
      <w:r w:rsidR="0039522C">
        <w:t>–</w:t>
      </w:r>
      <w:r w:rsidR="007E3F7A" w:rsidRPr="00280DAF">
        <w:t>24</w:t>
      </w:r>
      <w:r w:rsidRPr="00280DAF">
        <w:t xml:space="preserve"> pipeline. The new projects combined were valued at $</w:t>
      </w:r>
      <w:r w:rsidR="00841ACC" w:rsidRPr="00280DAF">
        <w:t>8</w:t>
      </w:r>
      <w:r w:rsidRPr="00280DAF">
        <w:t>.</w:t>
      </w:r>
      <w:r w:rsidR="00D84383" w:rsidRPr="00280DAF">
        <w:t>0</w:t>
      </w:r>
      <w:r w:rsidRPr="00280DAF">
        <w:t xml:space="preserve"> billion. Of the new projects, 3</w:t>
      </w:r>
      <w:r w:rsidR="004749C0" w:rsidRPr="00280DAF">
        <w:t>7</w:t>
      </w:r>
      <w:r w:rsidRPr="00280DAF">
        <w:t xml:space="preserve"> were in capital cities (worth $</w:t>
      </w:r>
      <w:r w:rsidR="0098791C" w:rsidRPr="00280DAF">
        <w:t>6.7</w:t>
      </w:r>
      <w:r w:rsidRPr="00280DAF">
        <w:t xml:space="preserve"> billion), and</w:t>
      </w:r>
      <w:r w:rsidRPr="00280DAF" w:rsidDel="00C82C11">
        <w:t xml:space="preserve"> </w:t>
      </w:r>
      <w:r w:rsidR="002E264E" w:rsidRPr="002E264E">
        <w:t>1</w:t>
      </w:r>
      <w:r w:rsidR="008E4686">
        <w:t>5</w:t>
      </w:r>
      <w:r w:rsidRPr="00280DAF">
        <w:t xml:space="preserve"> were in regional Australia (worth $</w:t>
      </w:r>
      <w:r w:rsidR="004B2B0A" w:rsidRPr="00280DAF">
        <w:t>1.</w:t>
      </w:r>
      <w:r w:rsidR="00E8242B" w:rsidRPr="00280DAF">
        <w:t>2</w:t>
      </w:r>
      <w:r w:rsidRPr="00280DAF">
        <w:t xml:space="preserve"> billion). </w:t>
      </w:r>
    </w:p>
    <w:p w14:paraId="706C5BD6" w14:textId="77777777" w:rsidR="00EB790B" w:rsidRPr="00280DAF" w:rsidRDefault="00EB790B" w:rsidP="00EB790B">
      <w:pPr>
        <w:pStyle w:val="Heading5"/>
        <w:spacing w:before="120"/>
      </w:pPr>
      <w:r w:rsidRPr="00280DAF">
        <w:t>Under construction</w:t>
      </w:r>
    </w:p>
    <w:p w14:paraId="3DC8C8D0" w14:textId="1515E844" w:rsidR="002B4CE3" w:rsidRPr="001C658E" w:rsidRDefault="00EB790B" w:rsidP="002B4CE3">
      <w:r w:rsidRPr="00280DAF">
        <w:t>There were</w:t>
      </w:r>
      <w:r w:rsidRPr="001C658E">
        <w:t xml:space="preserve"> </w:t>
      </w:r>
      <w:r w:rsidR="003A1535" w:rsidRPr="001C658E">
        <w:t>69</w:t>
      </w:r>
      <w:r w:rsidRPr="001C658E">
        <w:t xml:space="preserve"> projects under construction in </w:t>
      </w:r>
      <w:r w:rsidR="007E3F7A" w:rsidRPr="001C658E">
        <w:t>2023</w:t>
      </w:r>
      <w:r w:rsidR="0039522C">
        <w:t>–</w:t>
      </w:r>
      <w:r w:rsidR="007E3F7A" w:rsidRPr="001C658E">
        <w:t>24</w:t>
      </w:r>
      <w:r w:rsidRPr="001C658E">
        <w:t>, with a value of $</w:t>
      </w:r>
      <w:r w:rsidR="00EB76FF" w:rsidRPr="001C658E">
        <w:t>7.</w:t>
      </w:r>
      <w:r w:rsidR="004452A8" w:rsidRPr="001C658E">
        <w:t>7</w:t>
      </w:r>
      <w:r w:rsidR="003A2650" w:rsidRPr="001C658E">
        <w:t xml:space="preserve"> </w:t>
      </w:r>
      <w:r w:rsidRPr="001C658E">
        <w:t xml:space="preserve">billion. </w:t>
      </w:r>
      <w:r w:rsidR="00CB35DF">
        <w:t>These projects were spread across Australia</w:t>
      </w:r>
      <w:r w:rsidR="002B4CE3" w:rsidRPr="001C658E">
        <w:t>:</w:t>
      </w:r>
    </w:p>
    <w:p w14:paraId="5ACC9CEA" w14:textId="2B499345" w:rsidR="002B4CE3" w:rsidRPr="00600025" w:rsidRDefault="00046AF5" w:rsidP="00A9784D">
      <w:pPr>
        <w:pStyle w:val="BulletList"/>
      </w:pPr>
      <w:r w:rsidRPr="00600025">
        <w:t xml:space="preserve">New South Wales – </w:t>
      </w:r>
      <w:r w:rsidR="002B4CE3" w:rsidRPr="00600025">
        <w:t>17 projects worth $2.8 billion</w:t>
      </w:r>
    </w:p>
    <w:p w14:paraId="208C8D18" w14:textId="77777777" w:rsidR="00053BA0" w:rsidRPr="00AA00F1" w:rsidRDefault="00053BA0" w:rsidP="00053BA0">
      <w:pPr>
        <w:pStyle w:val="BulletList"/>
      </w:pPr>
      <w:r w:rsidRPr="00AA00F1">
        <w:t>Victoria – 12 projects worth $1.25 billion</w:t>
      </w:r>
    </w:p>
    <w:p w14:paraId="70228F0F" w14:textId="169F5319" w:rsidR="00214898" w:rsidRPr="00FE6F8D" w:rsidRDefault="00046AF5" w:rsidP="00A9784D">
      <w:pPr>
        <w:pStyle w:val="BulletList"/>
      </w:pPr>
      <w:r w:rsidRPr="00FE6F8D">
        <w:t xml:space="preserve">Western Australia – </w:t>
      </w:r>
      <w:r w:rsidR="00214898" w:rsidRPr="00FE6F8D">
        <w:t>1</w:t>
      </w:r>
      <w:r w:rsidR="00FC5424" w:rsidRPr="00FE6F8D">
        <w:t>1</w:t>
      </w:r>
      <w:r w:rsidR="00214898" w:rsidRPr="00FE6F8D">
        <w:t xml:space="preserve"> projects worth $0.</w:t>
      </w:r>
      <w:r w:rsidR="00FC5424" w:rsidRPr="00FE6F8D">
        <w:t>9</w:t>
      </w:r>
      <w:r w:rsidR="00214898" w:rsidRPr="00FE6F8D">
        <w:t xml:space="preserve"> billion</w:t>
      </w:r>
    </w:p>
    <w:p w14:paraId="45ED63A1" w14:textId="26CC4973" w:rsidR="00214898" w:rsidRPr="00F70E8F" w:rsidRDefault="00046AF5" w:rsidP="00A9784D">
      <w:pPr>
        <w:pStyle w:val="BulletList"/>
      </w:pPr>
      <w:r w:rsidRPr="00FE6F8D">
        <w:t xml:space="preserve">Northern </w:t>
      </w:r>
      <w:r w:rsidRPr="00F70E8F">
        <w:t xml:space="preserve">Territory – </w:t>
      </w:r>
      <w:r w:rsidR="00214898" w:rsidRPr="00F70E8F">
        <w:t>9 projects worth $0.9 billion</w:t>
      </w:r>
    </w:p>
    <w:p w14:paraId="44F1B9DF" w14:textId="77777777" w:rsidR="00053BA0" w:rsidRPr="00F70E8F" w:rsidRDefault="00053BA0" w:rsidP="00053BA0">
      <w:pPr>
        <w:pStyle w:val="BulletList"/>
      </w:pPr>
      <w:r w:rsidRPr="00F70E8F">
        <w:t xml:space="preserve">South Australia – 8 projects worth $0.7 billion </w:t>
      </w:r>
    </w:p>
    <w:p w14:paraId="5AE3BDCC" w14:textId="7F9A859B" w:rsidR="002B4CE3" w:rsidRPr="00AA00F1" w:rsidRDefault="00046AF5" w:rsidP="00A9784D">
      <w:pPr>
        <w:pStyle w:val="BulletList"/>
      </w:pPr>
      <w:r w:rsidRPr="00F70E8F">
        <w:t xml:space="preserve">Queensland – </w:t>
      </w:r>
      <w:r w:rsidR="00817676" w:rsidRPr="00F70E8F">
        <w:t xml:space="preserve">8 </w:t>
      </w:r>
      <w:r w:rsidR="002B4CE3" w:rsidRPr="00F70E8F">
        <w:t>proj</w:t>
      </w:r>
      <w:r w:rsidR="002B4CE3" w:rsidRPr="00AA00F1">
        <w:t>ects worth $</w:t>
      </w:r>
      <w:r w:rsidR="00815AC1" w:rsidRPr="00AA00F1">
        <w:t>0.</w:t>
      </w:r>
      <w:r w:rsidR="00817676" w:rsidRPr="00AA00F1">
        <w:t>6</w:t>
      </w:r>
      <w:r w:rsidR="002B4CE3" w:rsidRPr="00AA00F1">
        <w:t xml:space="preserve"> billion</w:t>
      </w:r>
    </w:p>
    <w:p w14:paraId="5D2EB41C" w14:textId="77777777" w:rsidR="00053BA0" w:rsidRDefault="00053BA0" w:rsidP="00A9784D">
      <w:pPr>
        <w:pStyle w:val="BulletList"/>
      </w:pPr>
      <w:r w:rsidRPr="00E02891">
        <w:t>Australian Capital Territory – 1 project worth $0.5 billion</w:t>
      </w:r>
    </w:p>
    <w:p w14:paraId="2DE84C17" w14:textId="63F314E9" w:rsidR="002B4CE3" w:rsidRPr="00E02891" w:rsidRDefault="00046AF5" w:rsidP="00053BA0">
      <w:pPr>
        <w:pStyle w:val="BulletList"/>
      </w:pPr>
      <w:r w:rsidRPr="00E02891">
        <w:t xml:space="preserve">Tasmania </w:t>
      </w:r>
      <w:r w:rsidR="00175D60" w:rsidRPr="00E02891">
        <w:t xml:space="preserve">– </w:t>
      </w:r>
      <w:r w:rsidR="00214898" w:rsidRPr="00E02891">
        <w:t>3 projects worth $0.1 billion.</w:t>
      </w:r>
    </w:p>
    <w:p w14:paraId="6216C49C" w14:textId="77777777" w:rsidR="00936BA5" w:rsidRDefault="00936BA5" w:rsidP="00936BA5">
      <w:pPr>
        <w:pStyle w:val="ListBullet"/>
        <w:numPr>
          <w:ilvl w:val="0"/>
          <w:numId w:val="0"/>
        </w:numPr>
        <w:rPr>
          <w:highlight w:val="yellow"/>
        </w:rPr>
      </w:pPr>
    </w:p>
    <w:p w14:paraId="7FD231AD" w14:textId="2B3ECC4E" w:rsidR="002B4CE3" w:rsidRPr="006A4A7A" w:rsidRDefault="004E333B" w:rsidP="00936BA5">
      <w:pPr>
        <w:pStyle w:val="ListBullet"/>
        <w:numPr>
          <w:ilvl w:val="0"/>
          <w:numId w:val="0"/>
        </w:numPr>
      </w:pPr>
      <w:r w:rsidRPr="006A4A7A">
        <w:lastRenderedPageBreak/>
        <w:t>Of these, 26 projects entered the construction phase in 202</w:t>
      </w:r>
      <w:r w:rsidR="006D4E5B">
        <w:t>3</w:t>
      </w:r>
      <w:r w:rsidRPr="006A4A7A">
        <w:t>–2</w:t>
      </w:r>
      <w:r w:rsidR="006D4E5B">
        <w:t>4</w:t>
      </w:r>
      <w:r w:rsidRPr="006A4A7A">
        <w:t xml:space="preserve"> at a combined value of $1.8</w:t>
      </w:r>
      <w:r w:rsidR="006C7F3B">
        <w:t> </w:t>
      </w:r>
      <w:r w:rsidRPr="006A4A7A">
        <w:t>billion.</w:t>
      </w:r>
      <w:r w:rsidR="002B7F0F" w:rsidRPr="006A4A7A">
        <w:t xml:space="preserve"> </w:t>
      </w:r>
      <w:r w:rsidR="00936BA5" w:rsidRPr="006A4A7A">
        <w:t xml:space="preserve">12 projects under construction were new to the pipeline </w:t>
      </w:r>
      <w:r w:rsidR="005103AD">
        <w:t xml:space="preserve">and </w:t>
      </w:r>
      <w:r w:rsidR="00936BA5" w:rsidRPr="006A4A7A">
        <w:t>worth $0.5 billion in 2023</w:t>
      </w:r>
      <w:r w:rsidR="0039522C">
        <w:t>–</w:t>
      </w:r>
      <w:r w:rsidR="00936BA5" w:rsidRPr="006A4A7A">
        <w:t xml:space="preserve">24.  </w:t>
      </w:r>
    </w:p>
    <w:p w14:paraId="0938C2C2" w14:textId="77777777" w:rsidR="00936BA5" w:rsidRPr="00CD1584" w:rsidRDefault="00936BA5" w:rsidP="00936BA5">
      <w:pPr>
        <w:pStyle w:val="ListBullet"/>
        <w:numPr>
          <w:ilvl w:val="0"/>
          <w:numId w:val="0"/>
        </w:numPr>
        <w:rPr>
          <w:highlight w:val="yellow"/>
        </w:rPr>
      </w:pPr>
    </w:p>
    <w:p w14:paraId="2DF4F678" w14:textId="77777777" w:rsidR="00EB790B" w:rsidRPr="001C658E" w:rsidRDefault="00EB790B" w:rsidP="00EB790B">
      <w:pPr>
        <w:pStyle w:val="Heading5"/>
      </w:pPr>
      <w:r w:rsidRPr="001C658E">
        <w:t>Planning</w:t>
      </w:r>
    </w:p>
    <w:p w14:paraId="29A022CD" w14:textId="4A5435D2" w:rsidR="00EB790B" w:rsidRPr="001C658E" w:rsidRDefault="00EB790B" w:rsidP="00EB790B">
      <w:r w:rsidRPr="001C658E">
        <w:t xml:space="preserve">There were </w:t>
      </w:r>
      <w:r w:rsidR="00B17BD1" w:rsidRPr="001C658E">
        <w:t>7</w:t>
      </w:r>
      <w:r w:rsidR="00B17BD1">
        <w:t>2</w:t>
      </w:r>
      <w:r w:rsidR="00B17BD1" w:rsidRPr="001C658E">
        <w:t xml:space="preserve"> </w:t>
      </w:r>
      <w:r w:rsidRPr="001C658E">
        <w:t>projects worth $1</w:t>
      </w:r>
      <w:r w:rsidR="009100E6" w:rsidRPr="001C658E">
        <w:t>6</w:t>
      </w:r>
      <w:r w:rsidRPr="001C658E">
        <w:t>.</w:t>
      </w:r>
      <w:r w:rsidR="009100E6" w:rsidRPr="001C658E">
        <w:t>6</w:t>
      </w:r>
      <w:r w:rsidRPr="001C658E">
        <w:t xml:space="preserve"> billion in the planning phase. Of these, there were:</w:t>
      </w:r>
    </w:p>
    <w:p w14:paraId="5C59CBDA" w14:textId="0C944D6A" w:rsidR="00DC10C0" w:rsidRPr="001C658E" w:rsidRDefault="00595558" w:rsidP="00A9784D">
      <w:pPr>
        <w:pStyle w:val="BulletList"/>
      </w:pPr>
      <w:r w:rsidRPr="001C658E">
        <w:t xml:space="preserve">New South Wales – </w:t>
      </w:r>
      <w:r w:rsidR="00DC10C0" w:rsidRPr="001C658E">
        <w:t>2</w:t>
      </w:r>
      <w:r w:rsidR="00176550" w:rsidRPr="001C658E">
        <w:t>2</w:t>
      </w:r>
      <w:r w:rsidR="00DC10C0" w:rsidRPr="001C658E">
        <w:t xml:space="preserve"> projects worth $</w:t>
      </w:r>
      <w:r w:rsidR="00293E81" w:rsidRPr="001C658E">
        <w:t>2.7</w:t>
      </w:r>
      <w:r w:rsidR="00DC10C0" w:rsidRPr="001C658E">
        <w:t xml:space="preserve"> billion</w:t>
      </w:r>
    </w:p>
    <w:p w14:paraId="511B7D6E" w14:textId="1C1BB48B" w:rsidR="00F439E1" w:rsidRPr="007461AD" w:rsidRDefault="00595558" w:rsidP="00A9784D">
      <w:pPr>
        <w:pStyle w:val="BulletList"/>
      </w:pPr>
      <w:r w:rsidRPr="001C658E">
        <w:t>Tasmania</w:t>
      </w:r>
      <w:r w:rsidRPr="007461AD">
        <w:t xml:space="preserve"> </w:t>
      </w:r>
      <w:r w:rsidR="00E74E6B" w:rsidRPr="007461AD">
        <w:t xml:space="preserve">– </w:t>
      </w:r>
      <w:r w:rsidR="00F439E1" w:rsidRPr="007461AD">
        <w:t>1</w:t>
      </w:r>
      <w:r w:rsidR="007461AD" w:rsidRPr="007461AD">
        <w:t>2</w:t>
      </w:r>
      <w:r w:rsidR="00F439E1" w:rsidRPr="007461AD">
        <w:t xml:space="preserve"> projects worth $0.9 billion</w:t>
      </w:r>
    </w:p>
    <w:p w14:paraId="7F63D7B4" w14:textId="06B225BA" w:rsidR="00EB790B" w:rsidRPr="00F70E8F" w:rsidRDefault="00595558" w:rsidP="00A9784D">
      <w:pPr>
        <w:pStyle w:val="BulletList"/>
      </w:pPr>
      <w:r w:rsidRPr="00293E81">
        <w:t xml:space="preserve">Queensland </w:t>
      </w:r>
      <w:r w:rsidR="00E74E6B" w:rsidRPr="00293E81">
        <w:t xml:space="preserve">– </w:t>
      </w:r>
      <w:r w:rsidR="00293E81" w:rsidRPr="00293E81">
        <w:t>12</w:t>
      </w:r>
      <w:r w:rsidR="00EB790B" w:rsidRPr="00293E81">
        <w:t xml:space="preserve"> projects </w:t>
      </w:r>
      <w:r w:rsidR="00EB790B" w:rsidRPr="00F70E8F">
        <w:t>worth $</w:t>
      </w:r>
      <w:r w:rsidR="00293E81" w:rsidRPr="00F70E8F">
        <w:t>7.8</w:t>
      </w:r>
      <w:r w:rsidR="00EB790B" w:rsidRPr="00F70E8F">
        <w:t xml:space="preserve"> billion</w:t>
      </w:r>
    </w:p>
    <w:p w14:paraId="5EB81145" w14:textId="187F2B30" w:rsidR="00EB790B" w:rsidRPr="00F70E8F" w:rsidRDefault="00595558" w:rsidP="00A9784D">
      <w:pPr>
        <w:pStyle w:val="BulletList"/>
      </w:pPr>
      <w:r w:rsidRPr="00F70E8F">
        <w:t>Western Australia</w:t>
      </w:r>
      <w:r w:rsidR="00E74E6B" w:rsidRPr="00F70E8F">
        <w:t xml:space="preserve"> –</w:t>
      </w:r>
      <w:r w:rsidR="00717307" w:rsidRPr="00F70E8F">
        <w:t xml:space="preserve"> 8</w:t>
      </w:r>
      <w:r w:rsidR="00EB790B" w:rsidRPr="00F70E8F">
        <w:t xml:space="preserve"> projects worth $0.</w:t>
      </w:r>
      <w:r w:rsidR="00717307" w:rsidRPr="00F70E8F">
        <w:t>8</w:t>
      </w:r>
      <w:r w:rsidR="00EB790B" w:rsidRPr="00F70E8F">
        <w:t xml:space="preserve"> billion</w:t>
      </w:r>
    </w:p>
    <w:p w14:paraId="567B7B6D" w14:textId="11325F98" w:rsidR="00EB790B" w:rsidRPr="00F70E8F" w:rsidRDefault="00595558" w:rsidP="00A9784D">
      <w:pPr>
        <w:pStyle w:val="BulletList"/>
      </w:pPr>
      <w:r w:rsidRPr="00F70E8F">
        <w:t>South Australia</w:t>
      </w:r>
      <w:r w:rsidR="00E74E6B" w:rsidRPr="00F70E8F">
        <w:t xml:space="preserve"> – </w:t>
      </w:r>
      <w:r w:rsidR="00F7054A">
        <w:t>6</w:t>
      </w:r>
      <w:r w:rsidR="00EB790B" w:rsidRPr="00F70E8F">
        <w:t xml:space="preserve"> projects worth $0.</w:t>
      </w:r>
      <w:r w:rsidR="00F7054A">
        <w:t>5</w:t>
      </w:r>
      <w:r w:rsidR="00EB790B" w:rsidRPr="00F70E8F">
        <w:t xml:space="preserve"> billion </w:t>
      </w:r>
    </w:p>
    <w:p w14:paraId="5A3AEBFF" w14:textId="7DC51EA7" w:rsidR="00EB790B" w:rsidRPr="00593D1B" w:rsidRDefault="00595558" w:rsidP="00A9784D">
      <w:pPr>
        <w:pStyle w:val="BulletList"/>
      </w:pPr>
      <w:r w:rsidRPr="00F70E8F">
        <w:t xml:space="preserve">Australian Capital Territory </w:t>
      </w:r>
      <w:r w:rsidR="00E74E6B" w:rsidRPr="00F70E8F">
        <w:t xml:space="preserve">– </w:t>
      </w:r>
      <w:r w:rsidR="00F439E1" w:rsidRPr="00F70E8F">
        <w:t>6</w:t>
      </w:r>
      <w:r w:rsidR="00EB790B" w:rsidRPr="00F70E8F">
        <w:t xml:space="preserve"> proje</w:t>
      </w:r>
      <w:r w:rsidR="00EB790B" w:rsidRPr="00593D1B">
        <w:t>cts worth $0.</w:t>
      </w:r>
      <w:r w:rsidR="00F439E1" w:rsidRPr="00593D1B">
        <w:t>8</w:t>
      </w:r>
      <w:r w:rsidR="00EB790B" w:rsidRPr="00593D1B">
        <w:t xml:space="preserve"> billion </w:t>
      </w:r>
    </w:p>
    <w:p w14:paraId="217C88F4" w14:textId="32E364A8" w:rsidR="00EB790B" w:rsidRPr="001C658E" w:rsidRDefault="00595558" w:rsidP="00A9784D">
      <w:pPr>
        <w:pStyle w:val="BulletList"/>
      </w:pPr>
      <w:r w:rsidRPr="001C658E">
        <w:t xml:space="preserve">Victoria </w:t>
      </w:r>
      <w:r w:rsidR="00E74E6B" w:rsidRPr="001C658E">
        <w:t xml:space="preserve">– </w:t>
      </w:r>
      <w:r w:rsidR="00853FE3" w:rsidRPr="001C658E">
        <w:t>4</w:t>
      </w:r>
      <w:r w:rsidR="00EB790B" w:rsidRPr="001C658E">
        <w:t xml:space="preserve"> projects worth $</w:t>
      </w:r>
      <w:r w:rsidR="00853FE3" w:rsidRPr="001C658E">
        <w:t>2.8</w:t>
      </w:r>
      <w:r w:rsidR="00EB790B" w:rsidRPr="001C658E">
        <w:t xml:space="preserve"> billion</w:t>
      </w:r>
    </w:p>
    <w:p w14:paraId="419EC106" w14:textId="18DDF337" w:rsidR="00EB790B" w:rsidRPr="001C658E" w:rsidRDefault="00595558" w:rsidP="00A9784D">
      <w:pPr>
        <w:pStyle w:val="BulletList"/>
      </w:pPr>
      <w:r w:rsidRPr="001C658E">
        <w:t xml:space="preserve">Northern Territory </w:t>
      </w:r>
      <w:r w:rsidR="00E74E6B" w:rsidRPr="001C658E">
        <w:t xml:space="preserve">– </w:t>
      </w:r>
      <w:r w:rsidR="00F439E1" w:rsidRPr="001C658E">
        <w:t>2</w:t>
      </w:r>
      <w:r w:rsidR="00EB790B" w:rsidRPr="001C658E">
        <w:t xml:space="preserve"> projects worth $0.</w:t>
      </w:r>
      <w:r w:rsidR="00F439E1" w:rsidRPr="001C658E">
        <w:t xml:space="preserve">2 </w:t>
      </w:r>
      <w:r w:rsidR="00EB790B" w:rsidRPr="001C658E">
        <w:t>billion.</w:t>
      </w:r>
    </w:p>
    <w:p w14:paraId="025FC87E" w14:textId="77777777" w:rsidR="00EB790B" w:rsidRPr="00280DAF" w:rsidRDefault="00EB790B" w:rsidP="00EB790B">
      <w:pPr>
        <w:pStyle w:val="Heading5"/>
        <w:spacing w:before="120"/>
      </w:pPr>
      <w:r w:rsidRPr="00280DAF">
        <w:t>Proposed</w:t>
      </w:r>
    </w:p>
    <w:p w14:paraId="2F9B3DED" w14:textId="5891989F" w:rsidR="00EB790B" w:rsidRPr="00AF239A" w:rsidRDefault="00EB790B" w:rsidP="00EB790B">
      <w:r w:rsidRPr="00280DAF">
        <w:t>There were 1</w:t>
      </w:r>
      <w:r w:rsidR="00E81F64" w:rsidRPr="00280DAF">
        <w:t>9</w:t>
      </w:r>
      <w:r w:rsidRPr="00280DAF">
        <w:t xml:space="preserve"> projects worth $</w:t>
      </w:r>
      <w:r w:rsidR="00E81F64" w:rsidRPr="00280DAF">
        <w:t>4.6</w:t>
      </w:r>
      <w:r w:rsidRPr="00280DAF">
        <w:t xml:space="preserve"> billion in the proposed phase. </w:t>
      </w:r>
      <w:r w:rsidR="00D02E53" w:rsidRPr="00280DAF">
        <w:t>1</w:t>
      </w:r>
      <w:r w:rsidR="00087016" w:rsidRPr="00280DAF">
        <w:t>4</w:t>
      </w:r>
      <w:r w:rsidR="00D02E53" w:rsidRPr="00280DAF">
        <w:t xml:space="preserve"> proposed projects are for </w:t>
      </w:r>
      <w:r w:rsidR="00D02E53" w:rsidRPr="00AF239A">
        <w:t xml:space="preserve">capital cities </w:t>
      </w:r>
      <w:r w:rsidR="0059787A" w:rsidRPr="00AF239A">
        <w:t xml:space="preserve">and </w:t>
      </w:r>
      <w:r w:rsidR="00D02E53" w:rsidRPr="00AF239A">
        <w:t>worth $4.</w:t>
      </w:r>
      <w:r w:rsidR="00087016" w:rsidRPr="00AF239A">
        <w:t>0</w:t>
      </w:r>
      <w:r w:rsidR="00D02E53" w:rsidRPr="00AF239A">
        <w:t xml:space="preserve"> billion</w:t>
      </w:r>
      <w:r w:rsidR="0059787A" w:rsidRPr="00AF239A">
        <w:t xml:space="preserve">, while </w:t>
      </w:r>
      <w:r w:rsidR="00091BFD" w:rsidRPr="00AF239A">
        <w:t xml:space="preserve">5 </w:t>
      </w:r>
      <w:r w:rsidR="0059787A" w:rsidRPr="00AF239A">
        <w:t xml:space="preserve">are </w:t>
      </w:r>
      <w:r w:rsidR="00091BFD" w:rsidRPr="00AF239A">
        <w:t>in regi</w:t>
      </w:r>
      <w:r w:rsidR="0059787A" w:rsidRPr="00AF239A">
        <w:t>o</w:t>
      </w:r>
      <w:r w:rsidR="00091BFD" w:rsidRPr="00AF239A">
        <w:t xml:space="preserve">nal Australia </w:t>
      </w:r>
      <w:r w:rsidR="0059787A" w:rsidRPr="00AF239A">
        <w:t xml:space="preserve">and worth </w:t>
      </w:r>
      <w:r w:rsidR="00091BFD" w:rsidRPr="00AF239A">
        <w:t xml:space="preserve">$0.6 billion. </w:t>
      </w:r>
    </w:p>
    <w:p w14:paraId="71A370C2" w14:textId="77777777" w:rsidR="00EB790B" w:rsidRPr="00AF239A" w:rsidRDefault="00EB790B" w:rsidP="00EB790B">
      <w:pPr>
        <w:keepNext/>
        <w:keepLines/>
        <w:spacing w:before="40" w:after="0"/>
        <w:outlineLvl w:val="4"/>
        <w:rPr>
          <w:rFonts w:asciiTheme="majorHAnsi" w:eastAsiaTheme="majorEastAsia" w:hAnsiTheme="majorHAnsi" w:cstheme="majorBidi"/>
          <w:color w:val="5B3161" w:themeColor="accent1" w:themeShade="BF"/>
        </w:rPr>
      </w:pPr>
      <w:r w:rsidRPr="00AF239A">
        <w:rPr>
          <w:rFonts w:asciiTheme="majorHAnsi" w:eastAsiaTheme="majorEastAsia" w:hAnsiTheme="majorHAnsi" w:cstheme="majorBidi"/>
          <w:color w:val="5B3161" w:themeColor="accent1" w:themeShade="BF"/>
        </w:rPr>
        <w:t>Completed</w:t>
      </w:r>
    </w:p>
    <w:p w14:paraId="2629B425" w14:textId="1C0AC208" w:rsidR="00EB790B" w:rsidRPr="007B2499" w:rsidRDefault="00EB790B" w:rsidP="00EB790B">
      <w:r w:rsidRPr="00AF239A">
        <w:t xml:space="preserve">In </w:t>
      </w:r>
      <w:r w:rsidR="007E3F7A" w:rsidRPr="007B2499">
        <w:t>2023</w:t>
      </w:r>
      <w:r w:rsidR="0039522C">
        <w:t>–</w:t>
      </w:r>
      <w:r w:rsidR="007E3F7A" w:rsidRPr="007B2499">
        <w:t>24</w:t>
      </w:r>
      <w:r w:rsidRPr="007B2499">
        <w:t xml:space="preserve">, there were </w:t>
      </w:r>
      <w:r w:rsidR="00416ABB" w:rsidRPr="007B2499">
        <w:t>1</w:t>
      </w:r>
      <w:r w:rsidR="002A5930" w:rsidRPr="007B2499">
        <w:t>4</w:t>
      </w:r>
      <w:r w:rsidR="00F949FC" w:rsidRPr="007B2499">
        <w:t xml:space="preserve"> </w:t>
      </w:r>
      <w:r w:rsidRPr="007B2499">
        <w:t>projects completed (and removed from the pipeline), worth $1.</w:t>
      </w:r>
      <w:r w:rsidR="002A5930" w:rsidRPr="007B2499">
        <w:t>9</w:t>
      </w:r>
      <w:r w:rsidR="00416ABB" w:rsidRPr="007B2499">
        <w:t xml:space="preserve"> </w:t>
      </w:r>
      <w:r w:rsidRPr="007B2499">
        <w:t xml:space="preserve">billion. </w:t>
      </w:r>
    </w:p>
    <w:p w14:paraId="2C9C449C" w14:textId="34CCEC32" w:rsidR="00A566D0" w:rsidRPr="007B2499" w:rsidRDefault="00A566D0" w:rsidP="00A566D0">
      <w:pPr>
        <w:pStyle w:val="BulletList"/>
      </w:pPr>
      <w:r w:rsidRPr="007B2499">
        <w:t xml:space="preserve">Victoria </w:t>
      </w:r>
      <w:r w:rsidR="0039522C">
        <w:t>–</w:t>
      </w:r>
      <w:r w:rsidRPr="007B2499">
        <w:t xml:space="preserve"> 3 completed worth $0.3 billion</w:t>
      </w:r>
    </w:p>
    <w:p w14:paraId="6F083378" w14:textId="46A2BE91" w:rsidR="00A566D0" w:rsidRPr="007B2499" w:rsidRDefault="00A566D0" w:rsidP="00A566D0">
      <w:pPr>
        <w:pStyle w:val="BulletList"/>
      </w:pPr>
      <w:r w:rsidRPr="007B2499">
        <w:t xml:space="preserve">New South Wales </w:t>
      </w:r>
      <w:r w:rsidR="0039522C">
        <w:t>–</w:t>
      </w:r>
      <w:r w:rsidRPr="007B2499">
        <w:t xml:space="preserve"> </w:t>
      </w:r>
      <w:r w:rsidR="00AF239A" w:rsidRPr="007B2499">
        <w:t>4</w:t>
      </w:r>
      <w:r w:rsidRPr="007B2499">
        <w:t xml:space="preserve"> completed project worth $0.</w:t>
      </w:r>
      <w:r w:rsidR="00452E3F" w:rsidRPr="007B2499">
        <w:t xml:space="preserve">2 </w:t>
      </w:r>
      <w:r w:rsidRPr="007B2499">
        <w:t>billion</w:t>
      </w:r>
    </w:p>
    <w:p w14:paraId="2EB51803" w14:textId="74CFC17A" w:rsidR="00235D88" w:rsidRPr="007B2499" w:rsidRDefault="00A566D0" w:rsidP="00235D88">
      <w:pPr>
        <w:pStyle w:val="BulletList"/>
      </w:pPr>
      <w:r w:rsidRPr="007B2499">
        <w:t xml:space="preserve">Western Australia </w:t>
      </w:r>
      <w:r w:rsidR="0039522C">
        <w:t>–</w:t>
      </w:r>
      <w:r w:rsidRPr="007B2499">
        <w:t xml:space="preserve"> </w:t>
      </w:r>
      <w:r w:rsidR="00AF239A" w:rsidRPr="007B2499">
        <w:t>4</w:t>
      </w:r>
      <w:r w:rsidR="005C2A8D" w:rsidRPr="007B2499">
        <w:t xml:space="preserve"> completed projects worth $0.</w:t>
      </w:r>
      <w:r w:rsidR="00AF239A" w:rsidRPr="007B2499">
        <w:t>2</w:t>
      </w:r>
      <w:r w:rsidR="005C2A8D" w:rsidRPr="007B2499">
        <w:t xml:space="preserve"> billion</w:t>
      </w:r>
    </w:p>
    <w:p w14:paraId="12A344E0" w14:textId="77777777" w:rsidR="00A566D0" w:rsidRPr="007B2499" w:rsidRDefault="00A566D0" w:rsidP="00A566D0">
      <w:pPr>
        <w:pStyle w:val="BulletList"/>
      </w:pPr>
      <w:r w:rsidRPr="007B2499">
        <w:t>South Australia – 1 completed project worth $1.0 billion</w:t>
      </w:r>
    </w:p>
    <w:p w14:paraId="6E6A61B7" w14:textId="7DC186F7" w:rsidR="00FE4522" w:rsidRPr="007B2499" w:rsidRDefault="00FE4522" w:rsidP="00A566D0">
      <w:pPr>
        <w:pStyle w:val="BulletList"/>
      </w:pPr>
      <w:r w:rsidRPr="007B2499">
        <w:t>Queensland – 1 completed project worth $0.2 billion</w:t>
      </w:r>
    </w:p>
    <w:p w14:paraId="1BD0E31D" w14:textId="1A51B82A" w:rsidR="00BB6F4E" w:rsidRPr="007B2499" w:rsidRDefault="00D81ED7" w:rsidP="00235D88">
      <w:pPr>
        <w:pStyle w:val="BulletList"/>
      </w:pPr>
      <w:r w:rsidRPr="007B2499">
        <w:t>Tasmania – 1 completed project worth $0.03 billion</w:t>
      </w:r>
    </w:p>
    <w:p w14:paraId="40F19B8E" w14:textId="77777777" w:rsidR="00EB790B" w:rsidRPr="00013592" w:rsidRDefault="00EB790B" w:rsidP="00EB790B">
      <w:pPr>
        <w:pStyle w:val="Heading3"/>
        <w:spacing w:line="300" w:lineRule="atLeast"/>
      </w:pPr>
      <w:bookmarkStart w:id="115" w:name="_Toc95805107"/>
      <w:bookmarkStart w:id="116" w:name="_Toc95899270"/>
      <w:bookmarkStart w:id="117" w:name="_Toc95899352"/>
      <w:bookmarkStart w:id="118" w:name="_Toc126933045"/>
      <w:bookmarkStart w:id="119" w:name="_Toc126933929"/>
      <w:bookmarkStart w:id="120" w:name="_Toc1080694918"/>
      <w:bookmarkStart w:id="121" w:name="_Toc188024237"/>
      <w:bookmarkStart w:id="122" w:name="_Toc189145271"/>
      <w:bookmarkStart w:id="123" w:name="_Toc190084773"/>
      <w:r w:rsidRPr="00AF239A">
        <w:t>Breakdown by investment area</w:t>
      </w:r>
      <w:bookmarkEnd w:id="115"/>
      <w:bookmarkEnd w:id="116"/>
      <w:bookmarkEnd w:id="117"/>
      <w:bookmarkEnd w:id="118"/>
      <w:bookmarkEnd w:id="119"/>
      <w:bookmarkEnd w:id="120"/>
      <w:bookmarkEnd w:id="121"/>
      <w:bookmarkEnd w:id="122"/>
      <w:bookmarkEnd w:id="123"/>
    </w:p>
    <w:p w14:paraId="0FE95B60" w14:textId="77777777" w:rsidR="00EB790B" w:rsidRPr="00013592" w:rsidRDefault="00EB790B" w:rsidP="00EB790B">
      <w:pPr>
        <w:spacing w:line="300" w:lineRule="atLeast"/>
      </w:pPr>
      <w:r w:rsidRPr="00013592">
        <w:t>By area of investment, there were:</w:t>
      </w:r>
    </w:p>
    <w:p w14:paraId="06631B9D" w14:textId="6C802C3E" w:rsidR="00EB790B" w:rsidRPr="00013592" w:rsidRDefault="00F97689" w:rsidP="00A9784D">
      <w:pPr>
        <w:pStyle w:val="BulletList"/>
      </w:pPr>
      <w:r w:rsidRPr="00013592">
        <w:t>6</w:t>
      </w:r>
      <w:r w:rsidR="00B540AF">
        <w:t>3</w:t>
      </w:r>
      <w:r w:rsidR="00EB790B" w:rsidRPr="00013592">
        <w:t xml:space="preserve"> arts/</w:t>
      </w:r>
      <w:r w:rsidR="008450BC" w:rsidRPr="00013592">
        <w:t>recreation</w:t>
      </w:r>
      <w:r w:rsidR="00EB790B" w:rsidRPr="00013592">
        <w:t xml:space="preserve"> projects valued at $</w:t>
      </w:r>
      <w:r w:rsidR="0058390F" w:rsidRPr="00013592">
        <w:t>8.</w:t>
      </w:r>
      <w:r w:rsidR="008C6506" w:rsidRPr="00013592">
        <w:t>7</w:t>
      </w:r>
      <w:r w:rsidR="00EB790B" w:rsidRPr="00013592">
        <w:t xml:space="preserve"> billion </w:t>
      </w:r>
    </w:p>
    <w:p w14:paraId="2327102E" w14:textId="329E4DDC" w:rsidR="00EB790B" w:rsidRPr="006F7F22" w:rsidRDefault="00D35F59" w:rsidP="00A9784D">
      <w:pPr>
        <w:pStyle w:val="BulletList"/>
      </w:pPr>
      <w:r>
        <w:t>61</w:t>
      </w:r>
      <w:r w:rsidR="00EB790B" w:rsidRPr="006F7F22">
        <w:t xml:space="preserve"> sports</w:t>
      </w:r>
      <w:r w:rsidR="0039522C">
        <w:t>–</w:t>
      </w:r>
      <w:r w:rsidR="00EB790B" w:rsidRPr="006F7F22">
        <w:t xml:space="preserve">related projects </w:t>
      </w:r>
      <w:r w:rsidR="00745E29">
        <w:t xml:space="preserve">including leisure centres </w:t>
      </w:r>
      <w:r w:rsidR="00EB790B" w:rsidRPr="006F7F22">
        <w:t>valued at</w:t>
      </w:r>
      <w:r w:rsidR="006F7F22" w:rsidRPr="006F7F22">
        <w:t xml:space="preserve"> $</w:t>
      </w:r>
      <w:r w:rsidR="00C612F2">
        <w:t>10</w:t>
      </w:r>
      <w:r w:rsidR="006F7F22" w:rsidRPr="006F7F22">
        <w:t>.0</w:t>
      </w:r>
      <w:r w:rsidR="00EB790B" w:rsidRPr="006F7F22">
        <w:t xml:space="preserve"> billion </w:t>
      </w:r>
    </w:p>
    <w:p w14:paraId="2CA48CC1" w14:textId="45728CC9" w:rsidR="00EB790B" w:rsidRPr="00013592" w:rsidRDefault="00F97689" w:rsidP="00A9784D">
      <w:pPr>
        <w:pStyle w:val="BulletList"/>
      </w:pPr>
      <w:r w:rsidRPr="00013592">
        <w:t>26 attraction</w:t>
      </w:r>
      <w:r w:rsidR="00E858D3" w:rsidRPr="00013592">
        <w:t xml:space="preserve"> projects </w:t>
      </w:r>
      <w:r w:rsidR="00EB790B" w:rsidRPr="00013592">
        <w:t>worth $</w:t>
      </w:r>
      <w:r w:rsidR="001F6064" w:rsidRPr="00013592">
        <w:t>4.7</w:t>
      </w:r>
      <w:r w:rsidR="00EB790B" w:rsidRPr="00013592">
        <w:t xml:space="preserve"> billion </w:t>
      </w:r>
    </w:p>
    <w:p w14:paraId="3851E50C" w14:textId="09102CF0" w:rsidR="00EA0BA9" w:rsidRPr="00013592" w:rsidRDefault="00280FFA" w:rsidP="00A9784D">
      <w:pPr>
        <w:pStyle w:val="BulletList"/>
      </w:pPr>
      <w:r>
        <w:t>9</w:t>
      </w:r>
      <w:r w:rsidR="00EA0BA9" w:rsidRPr="00013592">
        <w:t xml:space="preserve"> entertainment projects </w:t>
      </w:r>
      <w:r w:rsidR="00E43408" w:rsidRPr="00013592">
        <w:t>worth $5.0 billion</w:t>
      </w:r>
    </w:p>
    <w:p w14:paraId="3FB88C00" w14:textId="73DB49D8" w:rsidR="00EB790B" w:rsidRPr="00013592" w:rsidRDefault="008450BC" w:rsidP="00A9784D">
      <w:pPr>
        <w:pStyle w:val="BulletList"/>
      </w:pPr>
      <w:r w:rsidRPr="00013592">
        <w:t>1</w:t>
      </w:r>
      <w:r w:rsidR="00EB790B" w:rsidRPr="00013592">
        <w:t xml:space="preserve"> </w:t>
      </w:r>
      <w:r w:rsidRPr="00013592">
        <w:t>business events project</w:t>
      </w:r>
      <w:r w:rsidR="00EB790B" w:rsidRPr="00013592">
        <w:t xml:space="preserve"> worth $</w:t>
      </w:r>
      <w:r w:rsidR="001F6064" w:rsidRPr="00013592">
        <w:t>0.5</w:t>
      </w:r>
      <w:r w:rsidR="00EB790B" w:rsidRPr="00013592">
        <w:t xml:space="preserve"> billion. </w:t>
      </w:r>
    </w:p>
    <w:p w14:paraId="25DFA535" w14:textId="77777777" w:rsidR="00EB790B" w:rsidRPr="00280DAF" w:rsidRDefault="00EB790B" w:rsidP="00EB790B">
      <w:pPr>
        <w:pStyle w:val="Heading3"/>
      </w:pPr>
      <w:bookmarkStart w:id="124" w:name="_Toc95805108"/>
      <w:bookmarkStart w:id="125" w:name="_Toc95899271"/>
      <w:bookmarkStart w:id="126" w:name="_Toc95899353"/>
      <w:bookmarkStart w:id="127" w:name="_Toc126933046"/>
      <w:bookmarkStart w:id="128" w:name="_Toc126933930"/>
      <w:bookmarkStart w:id="129" w:name="_Toc983211963"/>
      <w:bookmarkStart w:id="130" w:name="_Toc188024238"/>
      <w:bookmarkStart w:id="131" w:name="_Toc189145272"/>
      <w:bookmarkStart w:id="132" w:name="_Toc190084774"/>
      <w:r w:rsidRPr="00280DAF">
        <w:t>Breakdown by location</w:t>
      </w:r>
      <w:bookmarkEnd w:id="124"/>
      <w:bookmarkEnd w:id="125"/>
      <w:bookmarkEnd w:id="126"/>
      <w:bookmarkEnd w:id="127"/>
      <w:bookmarkEnd w:id="128"/>
      <w:bookmarkEnd w:id="129"/>
      <w:bookmarkEnd w:id="130"/>
      <w:bookmarkEnd w:id="131"/>
      <w:bookmarkEnd w:id="132"/>
    </w:p>
    <w:p w14:paraId="097A4C45" w14:textId="77777777" w:rsidR="000447C2" w:rsidRDefault="006D540C" w:rsidP="00522D5F">
      <w:r w:rsidRPr="00280DAF">
        <w:t xml:space="preserve">Investment in </w:t>
      </w:r>
      <w:r w:rsidR="009A7BD9" w:rsidRPr="00280DAF">
        <w:t xml:space="preserve">this sector is predominately in capital cities, with New South Wales </w:t>
      </w:r>
      <w:r w:rsidR="00E851BA" w:rsidRPr="00280DAF">
        <w:t xml:space="preserve">having the greatest number of projects. </w:t>
      </w:r>
    </w:p>
    <w:p w14:paraId="436281D7" w14:textId="537D801D" w:rsidR="00522D5F" w:rsidRPr="006A3DF2" w:rsidRDefault="00522D5F" w:rsidP="00522D5F">
      <w:r w:rsidRPr="00280DAF">
        <w:t>In 2023</w:t>
      </w:r>
      <w:r w:rsidR="0039522C">
        <w:t>–</w:t>
      </w:r>
      <w:r w:rsidRPr="00280DAF">
        <w:t xml:space="preserve">24, there were </w:t>
      </w:r>
      <w:r w:rsidR="007B5E0B" w:rsidRPr="00280DAF">
        <w:t xml:space="preserve">106 </w:t>
      </w:r>
      <w:r w:rsidRPr="00280DAF">
        <w:t>investments in arts, recreation, and business services located in capital cities</w:t>
      </w:r>
      <w:r w:rsidR="00B51C1D">
        <w:t>, account</w:t>
      </w:r>
      <w:r w:rsidR="000C349D">
        <w:t>ing</w:t>
      </w:r>
      <w:r w:rsidR="00B51C1D">
        <w:t xml:space="preserve"> for</w:t>
      </w:r>
      <w:r w:rsidR="006D540C" w:rsidRPr="00280DAF">
        <w:t xml:space="preserve"> $23.7 billion</w:t>
      </w:r>
      <w:r w:rsidR="000C349D">
        <w:t xml:space="preserve"> of investment</w:t>
      </w:r>
      <w:r w:rsidRPr="00280DAF">
        <w:t>:</w:t>
      </w:r>
    </w:p>
    <w:p w14:paraId="0B4CA069" w14:textId="2CC5ED5F" w:rsidR="007C79EF" w:rsidRPr="00304115" w:rsidRDefault="007C79EF" w:rsidP="00A9784D">
      <w:pPr>
        <w:pStyle w:val="BulletList"/>
      </w:pPr>
      <w:r w:rsidRPr="00304115">
        <w:t xml:space="preserve">New South Wales – </w:t>
      </w:r>
      <w:r w:rsidR="003D20EE" w:rsidRPr="00304115">
        <w:t>3</w:t>
      </w:r>
      <w:r w:rsidR="00304115" w:rsidRPr="00304115">
        <w:t>4</w:t>
      </w:r>
      <w:r w:rsidRPr="00304115">
        <w:t xml:space="preserve"> projects worth $</w:t>
      </w:r>
      <w:r w:rsidR="00304115" w:rsidRPr="00304115">
        <w:t>6.8</w:t>
      </w:r>
      <w:r w:rsidR="003D20EE" w:rsidRPr="00304115">
        <w:t xml:space="preserve"> </w:t>
      </w:r>
      <w:r w:rsidRPr="00304115">
        <w:t xml:space="preserve">billion </w:t>
      </w:r>
    </w:p>
    <w:p w14:paraId="1257FCAA" w14:textId="77777777" w:rsidR="007C79EF" w:rsidRPr="00EB767C" w:rsidRDefault="007C79EF" w:rsidP="00A9784D">
      <w:pPr>
        <w:pStyle w:val="BulletList"/>
      </w:pPr>
      <w:r w:rsidRPr="00EB767C">
        <w:t>Western Australia – 16 projects worth $1.5 billion</w:t>
      </w:r>
    </w:p>
    <w:p w14:paraId="03557BA5" w14:textId="77777777" w:rsidR="007C79EF" w:rsidRPr="00BE2882" w:rsidRDefault="007C79EF" w:rsidP="00A9784D">
      <w:pPr>
        <w:pStyle w:val="BulletList"/>
      </w:pPr>
      <w:r w:rsidRPr="00BE2882">
        <w:t>Queensland – 11 projects worth $7.7 billion</w:t>
      </w:r>
    </w:p>
    <w:p w14:paraId="001832C7" w14:textId="77777777" w:rsidR="007C79EF" w:rsidRPr="00F70E8F" w:rsidRDefault="007C79EF" w:rsidP="00A9784D">
      <w:pPr>
        <w:pStyle w:val="BulletList"/>
      </w:pPr>
      <w:r w:rsidRPr="007907AF">
        <w:lastRenderedPageBreak/>
        <w:t xml:space="preserve">Victoria – 11 projects worth $2.8 </w:t>
      </w:r>
      <w:r w:rsidRPr="00F70E8F">
        <w:t>billion</w:t>
      </w:r>
    </w:p>
    <w:p w14:paraId="47EB577B" w14:textId="372FA851" w:rsidR="007C79EF" w:rsidRPr="00F70E8F" w:rsidRDefault="007C79EF" w:rsidP="00A9784D">
      <w:pPr>
        <w:pStyle w:val="BulletList"/>
      </w:pPr>
      <w:r w:rsidRPr="00F70E8F">
        <w:t>South Australia – 10 projects worth $0.9 billion</w:t>
      </w:r>
    </w:p>
    <w:p w14:paraId="2A66B240" w14:textId="5BE4357F" w:rsidR="00AB0276" w:rsidRPr="00F70E8F" w:rsidRDefault="00AB0276" w:rsidP="00A9784D">
      <w:pPr>
        <w:pStyle w:val="BulletList"/>
      </w:pPr>
      <w:r w:rsidRPr="00F70E8F">
        <w:t xml:space="preserve">Tasmania – </w:t>
      </w:r>
      <w:r w:rsidR="00CC0B33" w:rsidRPr="00F70E8F">
        <w:t>9</w:t>
      </w:r>
      <w:r w:rsidRPr="00F70E8F">
        <w:t xml:space="preserve"> projects worth $1.</w:t>
      </w:r>
      <w:r w:rsidR="00CC0B33" w:rsidRPr="00F70E8F">
        <w:t>3</w:t>
      </w:r>
      <w:r w:rsidRPr="00F70E8F">
        <w:t xml:space="preserve"> billion</w:t>
      </w:r>
    </w:p>
    <w:p w14:paraId="7B6DBC3C" w14:textId="504F6E7B" w:rsidR="007C79EF" w:rsidRPr="007D7500" w:rsidRDefault="007C79EF" w:rsidP="00A9784D">
      <w:pPr>
        <w:pStyle w:val="BulletList"/>
      </w:pPr>
      <w:r w:rsidRPr="007D7500">
        <w:t xml:space="preserve">Australian Capital Territory – </w:t>
      </w:r>
      <w:r w:rsidR="00304115" w:rsidRPr="007D7500">
        <w:t xml:space="preserve">8 </w:t>
      </w:r>
      <w:r w:rsidRPr="007D7500">
        <w:t xml:space="preserve">projects worth </w:t>
      </w:r>
      <w:r w:rsidR="00953E10" w:rsidRPr="007D7500">
        <w:t>$</w:t>
      </w:r>
      <w:r w:rsidR="00304115" w:rsidRPr="007D7500">
        <w:t>1.</w:t>
      </w:r>
      <w:r w:rsidR="00BE2882" w:rsidRPr="007D7500">
        <w:t>4</w:t>
      </w:r>
      <w:r w:rsidRPr="007D7500">
        <w:t xml:space="preserve"> billion</w:t>
      </w:r>
    </w:p>
    <w:p w14:paraId="0D98F558" w14:textId="655CA30F" w:rsidR="00522D5F" w:rsidRPr="00280DAF" w:rsidRDefault="00522D5F" w:rsidP="00A9784D">
      <w:pPr>
        <w:pStyle w:val="BulletList"/>
      </w:pPr>
      <w:r w:rsidRPr="00280DAF">
        <w:t xml:space="preserve">Northern Territory – </w:t>
      </w:r>
      <w:r w:rsidR="007F1378" w:rsidRPr="00280DAF">
        <w:t>7</w:t>
      </w:r>
      <w:r w:rsidRPr="00280DAF">
        <w:t xml:space="preserve"> projects worth $</w:t>
      </w:r>
      <w:r w:rsidR="007F1378" w:rsidRPr="00280DAF">
        <w:t>1.2</w:t>
      </w:r>
      <w:r w:rsidRPr="00280DAF">
        <w:t xml:space="preserve"> billion</w:t>
      </w:r>
      <w:r w:rsidR="007C79EF" w:rsidRPr="00280DAF">
        <w:t>.</w:t>
      </w:r>
    </w:p>
    <w:p w14:paraId="456540FF" w14:textId="5DE97278" w:rsidR="00C312DE" w:rsidRPr="00280DAF" w:rsidRDefault="00A371B6" w:rsidP="00EB790B">
      <w:r w:rsidRPr="00280DAF">
        <w:t xml:space="preserve">Regional investment in the sector accounts for </w:t>
      </w:r>
      <w:r w:rsidR="00A76FFB" w:rsidRPr="00280DAF">
        <w:t xml:space="preserve">22% of the </w:t>
      </w:r>
      <w:r w:rsidR="00680524">
        <w:t xml:space="preserve">total </w:t>
      </w:r>
      <w:r w:rsidR="00A76FFB" w:rsidRPr="00280DAF">
        <w:t xml:space="preserve">value. Victoria has the highest </w:t>
      </w:r>
      <w:r w:rsidR="0041389C">
        <w:t xml:space="preserve">regional investment </w:t>
      </w:r>
      <w:r w:rsidR="00A76FFB" w:rsidRPr="00280DAF">
        <w:t xml:space="preserve">value </w:t>
      </w:r>
      <w:r w:rsidR="00280DAF" w:rsidRPr="00280DAF">
        <w:t xml:space="preserve">despite </w:t>
      </w:r>
      <w:r w:rsidR="002B083A">
        <w:t>a</w:t>
      </w:r>
      <w:r w:rsidR="002B083A" w:rsidRPr="00280DAF">
        <w:t xml:space="preserve"> </w:t>
      </w:r>
      <w:r w:rsidR="00280DAF" w:rsidRPr="00280DAF">
        <w:t>low</w:t>
      </w:r>
      <w:r w:rsidR="0041389C">
        <w:t>er</w:t>
      </w:r>
      <w:r w:rsidR="00280DAF" w:rsidRPr="00280DAF">
        <w:t xml:space="preserve"> number of projects</w:t>
      </w:r>
      <w:r w:rsidR="0041389C">
        <w:t xml:space="preserve"> compared to other states and territories</w:t>
      </w:r>
      <w:r w:rsidR="00280DAF" w:rsidRPr="00280DAF">
        <w:t xml:space="preserve">. </w:t>
      </w:r>
    </w:p>
    <w:p w14:paraId="791339F4" w14:textId="31F56860" w:rsidR="00EB790B" w:rsidRPr="006A3DF2" w:rsidRDefault="00EB790B" w:rsidP="00EB790B">
      <w:r w:rsidRPr="006A3DF2">
        <w:t xml:space="preserve">In </w:t>
      </w:r>
      <w:r w:rsidR="007E3F7A" w:rsidRPr="006A3DF2">
        <w:t>2023</w:t>
      </w:r>
      <w:r w:rsidR="0039522C">
        <w:t>–</w:t>
      </w:r>
      <w:r w:rsidR="007E3F7A" w:rsidRPr="006A3DF2">
        <w:t>24</w:t>
      </w:r>
      <w:r w:rsidRPr="006A3DF2">
        <w:t>, there were</w:t>
      </w:r>
      <w:r w:rsidR="00DD798D" w:rsidRPr="006A3DF2">
        <w:t xml:space="preserve"> </w:t>
      </w:r>
      <w:r w:rsidR="006D540C" w:rsidRPr="006A3DF2">
        <w:t>5</w:t>
      </w:r>
      <w:r w:rsidR="00E16732">
        <w:t>4</w:t>
      </w:r>
      <w:r w:rsidRPr="006A3DF2">
        <w:t xml:space="preserve"> </w:t>
      </w:r>
      <w:r w:rsidR="0041389C">
        <w:t>projects</w:t>
      </w:r>
      <w:r w:rsidRPr="006A3DF2">
        <w:t xml:space="preserve"> in </w:t>
      </w:r>
      <w:r w:rsidR="00AB6029">
        <w:t>the</w:t>
      </w:r>
      <w:r w:rsidRPr="006A3DF2">
        <w:t xml:space="preserve"> arts, recreation, and business services </w:t>
      </w:r>
      <w:r w:rsidR="00AB6029">
        <w:t xml:space="preserve">pipeline </w:t>
      </w:r>
      <w:r w:rsidRPr="006A3DF2">
        <w:t>located in regional areas</w:t>
      </w:r>
      <w:r w:rsidR="00AB6029">
        <w:t>,</w:t>
      </w:r>
      <w:r w:rsidR="006D540C" w:rsidRPr="006A3DF2">
        <w:t xml:space="preserve"> worth $5.</w:t>
      </w:r>
      <w:r w:rsidR="00E16732">
        <w:t>2</w:t>
      </w:r>
      <w:r w:rsidR="006D540C" w:rsidRPr="006A3DF2">
        <w:t xml:space="preserve"> billion</w:t>
      </w:r>
      <w:r w:rsidRPr="006A3DF2">
        <w:t>:</w:t>
      </w:r>
    </w:p>
    <w:p w14:paraId="3F070660" w14:textId="19E4A9D7" w:rsidR="00AB0276" w:rsidRPr="00FE6E40" w:rsidRDefault="00AB0276" w:rsidP="00A9784D">
      <w:pPr>
        <w:pStyle w:val="BulletList"/>
      </w:pPr>
      <w:bookmarkStart w:id="133" w:name="_Toc95805112"/>
      <w:bookmarkStart w:id="134" w:name="_Toc126933047"/>
      <w:bookmarkStart w:id="135" w:name="_Toc126933931"/>
      <w:bookmarkStart w:id="136" w:name="_Toc502262248"/>
      <w:bookmarkStart w:id="137" w:name="_Toc153782355"/>
      <w:r w:rsidRPr="00FE6E40">
        <w:t>Tasmania – 1</w:t>
      </w:r>
      <w:r w:rsidR="00BA3C43" w:rsidRPr="00FE6E40">
        <w:t>1</w:t>
      </w:r>
      <w:r w:rsidRPr="00FE6E40">
        <w:t xml:space="preserve"> projects worth $</w:t>
      </w:r>
      <w:r w:rsidR="00BA3C43" w:rsidRPr="00FE6E40">
        <w:t>0.9</w:t>
      </w:r>
      <w:r w:rsidRPr="00FE6E40">
        <w:t xml:space="preserve"> billion</w:t>
      </w:r>
    </w:p>
    <w:p w14:paraId="0B8C6D0A" w14:textId="77777777" w:rsidR="00AB0276" w:rsidRPr="007D7500" w:rsidRDefault="00AB0276" w:rsidP="00A9784D">
      <w:pPr>
        <w:pStyle w:val="BulletList"/>
      </w:pPr>
      <w:r w:rsidRPr="007D7500">
        <w:t>Queensland – 11 projects worth $0.9 billion</w:t>
      </w:r>
    </w:p>
    <w:p w14:paraId="253FDC25" w14:textId="77777777" w:rsidR="00AB0276" w:rsidRPr="007D7500" w:rsidRDefault="00AB0276" w:rsidP="00A9784D">
      <w:pPr>
        <w:pStyle w:val="BulletList"/>
      </w:pPr>
      <w:r w:rsidRPr="007D7500">
        <w:t xml:space="preserve">New South Wales – 11 projects worth $0.8 billion </w:t>
      </w:r>
    </w:p>
    <w:p w14:paraId="1DED442C" w14:textId="77777777" w:rsidR="00AB0276" w:rsidRPr="00F70E8F" w:rsidRDefault="00AB0276" w:rsidP="00A9784D">
      <w:pPr>
        <w:pStyle w:val="BulletList"/>
      </w:pPr>
      <w:r w:rsidRPr="007D7500">
        <w:t>Northern Territory – 9 projects worth $0</w:t>
      </w:r>
      <w:r w:rsidRPr="00F70E8F">
        <w:t>.9 billion</w:t>
      </w:r>
    </w:p>
    <w:p w14:paraId="325CFF76" w14:textId="7DBF87AA" w:rsidR="00AB0276" w:rsidRPr="00F70E8F" w:rsidRDefault="00AB0276" w:rsidP="00A9784D">
      <w:pPr>
        <w:pStyle w:val="BulletList"/>
      </w:pPr>
      <w:r w:rsidRPr="00F70E8F">
        <w:t xml:space="preserve">Victoria – </w:t>
      </w:r>
      <w:r w:rsidR="002D51D1" w:rsidRPr="00F70E8F">
        <w:t>5</w:t>
      </w:r>
      <w:r w:rsidRPr="00F70E8F">
        <w:t xml:space="preserve"> projects worth $1.2 billion</w:t>
      </w:r>
    </w:p>
    <w:p w14:paraId="34C1238A" w14:textId="27B21B4A" w:rsidR="00AB0276" w:rsidRPr="00F70E8F" w:rsidRDefault="00AB0276" w:rsidP="00A9784D">
      <w:pPr>
        <w:pStyle w:val="BulletList"/>
      </w:pPr>
      <w:r w:rsidRPr="00F70E8F">
        <w:t xml:space="preserve">South Australia – </w:t>
      </w:r>
      <w:r w:rsidR="00E16732">
        <w:t>4</w:t>
      </w:r>
      <w:r w:rsidRPr="00F70E8F">
        <w:t xml:space="preserve"> projects worth $0.3 billion</w:t>
      </w:r>
    </w:p>
    <w:p w14:paraId="5B3249C4" w14:textId="16FCEE17" w:rsidR="00C741A5" w:rsidRDefault="00AB0276" w:rsidP="00B3455B">
      <w:pPr>
        <w:pStyle w:val="BulletList"/>
      </w:pPr>
      <w:r w:rsidRPr="00F70E8F">
        <w:t>Western Australia – 3 projects worth $0</w:t>
      </w:r>
      <w:r w:rsidRPr="002D51D1">
        <w:t>.2 billion.</w:t>
      </w:r>
    </w:p>
    <w:p w14:paraId="32F42819" w14:textId="77777777" w:rsidR="00B3455B" w:rsidRPr="00B3455B" w:rsidRDefault="00B3455B" w:rsidP="00B3455B">
      <w:pPr>
        <w:pStyle w:val="BulletList"/>
        <w:numPr>
          <w:ilvl w:val="0"/>
          <w:numId w:val="0"/>
        </w:numPr>
      </w:pPr>
    </w:p>
    <w:p w14:paraId="6F26682B" w14:textId="1CD6100B" w:rsidR="00D0259A" w:rsidRPr="00814C66" w:rsidRDefault="00D0259A" w:rsidP="00F9547B">
      <w:pPr>
        <w:pStyle w:val="BulletList"/>
        <w:numPr>
          <w:ilvl w:val="0"/>
          <w:numId w:val="0"/>
        </w:numPr>
        <w:rPr>
          <w:color w:val="2E1A47" w:themeColor="text2"/>
        </w:rPr>
      </w:pPr>
      <w:r w:rsidRPr="00814C66">
        <w:rPr>
          <w:b/>
          <w:color w:val="2E1A47" w:themeColor="text2"/>
        </w:rPr>
        <w:t>Figure 6:</w:t>
      </w:r>
      <w:r w:rsidRPr="00814C66">
        <w:rPr>
          <w:color w:val="2E1A47" w:themeColor="text2"/>
        </w:rPr>
        <w:t xml:space="preserve"> Arts, recreation, and business services pipeline by location, 2023</w:t>
      </w:r>
      <w:r w:rsidR="0039522C" w:rsidRPr="00814C66">
        <w:rPr>
          <w:color w:val="2E1A47" w:themeColor="text2"/>
        </w:rPr>
        <w:t>–</w:t>
      </w:r>
      <w:r w:rsidRPr="00814C66">
        <w:rPr>
          <w:color w:val="2E1A47" w:themeColor="text2"/>
        </w:rPr>
        <w:t>24</w:t>
      </w:r>
      <w:r w:rsidRPr="00814C66">
        <w:rPr>
          <w:rStyle w:val="FootnoteReference"/>
          <w:color w:val="2E1A47" w:themeColor="text2"/>
        </w:rPr>
        <w:footnoteReference w:id="8"/>
      </w:r>
      <w:r w:rsidRPr="00814C66">
        <w:rPr>
          <w:color w:val="2E1A47" w:themeColor="text2"/>
        </w:rPr>
        <w:t>.</w:t>
      </w:r>
    </w:p>
    <w:p w14:paraId="17B4A7E9" w14:textId="6A4770AE" w:rsidR="008F2387" w:rsidRDefault="004A4EEA" w:rsidP="008F2387">
      <w:pPr>
        <w:rPr>
          <w:bCs/>
          <w:lang w:eastAsia="zh-CN"/>
        </w:rPr>
      </w:pPr>
      <w:r>
        <w:rPr>
          <w:noProof/>
        </w:rPr>
        <w:drawing>
          <wp:inline distT="0" distB="0" distL="0" distR="0" wp14:anchorId="1168CFCB" wp14:editId="789340E8">
            <wp:extent cx="6329680" cy="3181350"/>
            <wp:effectExtent l="0" t="0" r="0" b="0"/>
            <wp:docPr id="136437192" name="Chart 1" descr="Figure 6 shows the value of the arts, recreation, and business services pipeline by state/territory in 2023-24. It also shows the breakdown of projects by location in the capital or regional areas. The majority of projects are in capital areas.&#10;">
              <a:extLst xmlns:a="http://schemas.openxmlformats.org/drawingml/2006/main">
                <a:ext uri="{FF2B5EF4-FFF2-40B4-BE49-F238E27FC236}">
                  <a16:creationId xmlns:a16="http://schemas.microsoft.com/office/drawing/2014/main" id="{1D893C14-C8EC-42D5-9C98-1F09A7F80C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1BAB660" w14:textId="77777777" w:rsidR="008F2387" w:rsidRDefault="008F2387">
      <w:pPr>
        <w:rPr>
          <w:bCs/>
          <w:lang w:eastAsia="zh-CN"/>
        </w:rPr>
      </w:pPr>
      <w:r>
        <w:rPr>
          <w:bCs/>
          <w:lang w:eastAsia="zh-CN"/>
        </w:rPr>
        <w:br w:type="page"/>
      </w:r>
    </w:p>
    <w:p w14:paraId="27B088E0" w14:textId="6171BA9F" w:rsidR="00EB790B" w:rsidRPr="00E350D4" w:rsidRDefault="00EB790B" w:rsidP="00EB790B">
      <w:pPr>
        <w:pStyle w:val="Heading2"/>
        <w:rPr>
          <w:b/>
          <w:color w:val="7A4282" w:themeColor="accent1"/>
          <w:szCs w:val="32"/>
        </w:rPr>
      </w:pPr>
      <w:bookmarkStart w:id="138" w:name="_Toc191539020"/>
      <w:r w:rsidRPr="00E350D4">
        <w:rPr>
          <w:color w:val="7A4282" w:themeColor="accent1"/>
          <w:szCs w:val="32"/>
        </w:rPr>
        <w:lastRenderedPageBreak/>
        <w:t>Accommodation results (standalone)</w:t>
      </w:r>
      <w:bookmarkEnd w:id="133"/>
      <w:bookmarkEnd w:id="134"/>
      <w:bookmarkEnd w:id="135"/>
      <w:bookmarkEnd w:id="136"/>
      <w:bookmarkEnd w:id="137"/>
      <w:bookmarkEnd w:id="138"/>
    </w:p>
    <w:tbl>
      <w:tblPr>
        <w:tblStyle w:val="TableGrid"/>
        <w:tblW w:w="0" w:type="auto"/>
        <w:jc w:val="center"/>
        <w:tblLook w:val="04A0" w:firstRow="1" w:lastRow="0" w:firstColumn="1" w:lastColumn="0" w:noHBand="0" w:noVBand="1"/>
        <w:tblCaption w:val="Accommodation summary table "/>
        <w:tblDescription w:val="Total &#10;$11.4 billion&#10;164 projects&#10;23,700 rooms&#10;Change from 2022–23: &#10;Down $0.8 billion &#10;Up 5 projects &#10;Down 700 rooms&#10;&#10;Capital cities &#10;$8.0 billion&#10;102 projects&#10;16,700 rooms&#10;Change from 2022–23: &#10;Down $0.6 billion &#10;Up 4 projects&#10;Down 900 rooms &#10;&#10;Regional&#10;$3.5 billion&#10;62 projects&#10;7,000 rooms &#10;Change from 2022–23: &#10;Down $0.1 billion&#10;Up 1 project&#10;Up 200 rooms&#10;"/>
      </w:tblPr>
      <w:tblGrid>
        <w:gridCol w:w="3117"/>
        <w:gridCol w:w="3116"/>
        <w:gridCol w:w="3117"/>
      </w:tblGrid>
      <w:tr w:rsidR="00EB790B" w:rsidRPr="00CD1584" w14:paraId="7BC22498" w14:textId="77777777" w:rsidTr="00911DF7">
        <w:trPr>
          <w:trHeight w:val="555"/>
          <w:jc w:val="center"/>
        </w:trPr>
        <w:tc>
          <w:tcPr>
            <w:tcW w:w="3117" w:type="dxa"/>
            <w:shd w:val="clear" w:color="auto" w:fill="2E1A47" w:themeFill="text2"/>
            <w:vAlign w:val="center"/>
          </w:tcPr>
          <w:p w14:paraId="3A7FB5FE" w14:textId="77777777" w:rsidR="00EB790B" w:rsidRPr="00E350D4" w:rsidRDefault="00EB790B" w:rsidP="00911DF7">
            <w:pPr>
              <w:jc w:val="center"/>
              <w:rPr>
                <w:b/>
                <w:color w:val="FFFFFF" w:themeColor="background1"/>
              </w:rPr>
            </w:pPr>
            <w:bookmarkStart w:id="139" w:name="_Toc95805113"/>
            <w:bookmarkStart w:id="140" w:name="_Toc95899273"/>
            <w:bookmarkStart w:id="141" w:name="_Toc95899355"/>
            <w:r w:rsidRPr="00E350D4">
              <w:rPr>
                <w:b/>
                <w:color w:val="FFFFFF" w:themeColor="background1"/>
              </w:rPr>
              <w:t>Total</w:t>
            </w:r>
            <w:r w:rsidRPr="00E350D4">
              <w:rPr>
                <w:rStyle w:val="FootnoteReference"/>
                <w:b/>
                <w:color w:val="FFFFFF" w:themeColor="background1"/>
              </w:rPr>
              <w:footnoteReference w:id="9"/>
            </w:r>
          </w:p>
        </w:tc>
        <w:tc>
          <w:tcPr>
            <w:tcW w:w="3116" w:type="dxa"/>
            <w:shd w:val="clear" w:color="auto" w:fill="2E1A47" w:themeFill="text2"/>
            <w:vAlign w:val="center"/>
          </w:tcPr>
          <w:p w14:paraId="5075A917" w14:textId="77777777" w:rsidR="00EB790B" w:rsidRPr="00E350D4" w:rsidRDefault="00EB790B" w:rsidP="00911DF7">
            <w:pPr>
              <w:jc w:val="center"/>
              <w:rPr>
                <w:b/>
                <w:color w:val="FFFFFF" w:themeColor="background1"/>
              </w:rPr>
            </w:pPr>
            <w:r w:rsidRPr="00E350D4">
              <w:rPr>
                <w:b/>
                <w:color w:val="FFFFFF" w:themeColor="background1"/>
              </w:rPr>
              <w:t>Capital cities</w:t>
            </w:r>
          </w:p>
        </w:tc>
        <w:tc>
          <w:tcPr>
            <w:tcW w:w="3117" w:type="dxa"/>
            <w:shd w:val="clear" w:color="auto" w:fill="2E1A47" w:themeFill="text2"/>
            <w:vAlign w:val="center"/>
          </w:tcPr>
          <w:p w14:paraId="4CE4ACB3" w14:textId="77777777" w:rsidR="00EB790B" w:rsidRPr="00E350D4" w:rsidRDefault="00EB790B" w:rsidP="00911DF7">
            <w:pPr>
              <w:jc w:val="center"/>
              <w:rPr>
                <w:b/>
                <w:color w:val="FFFFFF" w:themeColor="background1"/>
              </w:rPr>
            </w:pPr>
            <w:r w:rsidRPr="00E350D4">
              <w:rPr>
                <w:b/>
                <w:color w:val="FFFFFF" w:themeColor="background1"/>
              </w:rPr>
              <w:t>Regional</w:t>
            </w:r>
          </w:p>
        </w:tc>
      </w:tr>
      <w:tr w:rsidR="00EB790B" w:rsidRPr="00CD1584" w14:paraId="6C2E30B7" w14:textId="77777777" w:rsidTr="00D60256">
        <w:trPr>
          <w:trHeight w:val="587"/>
          <w:jc w:val="center"/>
        </w:trPr>
        <w:tc>
          <w:tcPr>
            <w:tcW w:w="3117" w:type="dxa"/>
          </w:tcPr>
          <w:p w14:paraId="6202C5B1" w14:textId="44FF433D" w:rsidR="00EB790B" w:rsidRPr="00E350D4" w:rsidRDefault="00EB790B" w:rsidP="008F2387">
            <w:pPr>
              <w:spacing w:before="120" w:after="120" w:line="300" w:lineRule="atLeast"/>
              <w:jc w:val="center"/>
              <w:rPr>
                <w:rFonts w:asciiTheme="minorHAnsi" w:eastAsia="Times New Roman" w:hAnsiTheme="minorHAnsi" w:cs="Times New Roman"/>
                <w:color w:val="000000"/>
                <w:lang w:eastAsia="en-AU"/>
              </w:rPr>
            </w:pPr>
            <w:r w:rsidRPr="00E350D4">
              <w:rPr>
                <w:rFonts w:asciiTheme="minorHAnsi" w:eastAsia="Times New Roman" w:hAnsiTheme="minorHAnsi" w:cs="Times New Roman"/>
                <w:color w:val="000000"/>
                <w:lang w:eastAsia="en-AU"/>
              </w:rPr>
              <w:t>$</w:t>
            </w:r>
            <w:r w:rsidR="00305FBB" w:rsidRPr="00E350D4">
              <w:rPr>
                <w:rFonts w:asciiTheme="minorHAnsi" w:eastAsia="Times New Roman" w:hAnsiTheme="minorHAnsi" w:cs="Times New Roman"/>
                <w:color w:val="000000"/>
                <w:lang w:eastAsia="en-AU"/>
              </w:rPr>
              <w:t>11</w:t>
            </w:r>
            <w:r w:rsidRPr="00E350D4">
              <w:rPr>
                <w:rFonts w:asciiTheme="minorHAnsi" w:eastAsia="Times New Roman" w:hAnsiTheme="minorHAnsi" w:cs="Times New Roman"/>
                <w:color w:val="000000"/>
                <w:lang w:eastAsia="en-AU"/>
              </w:rPr>
              <w:t>.</w:t>
            </w:r>
            <w:r w:rsidR="00945C8D">
              <w:rPr>
                <w:rFonts w:asciiTheme="minorHAnsi" w:eastAsia="Times New Roman" w:hAnsiTheme="minorHAnsi" w:cs="Times New Roman"/>
                <w:color w:val="000000"/>
                <w:lang w:eastAsia="en-AU"/>
              </w:rPr>
              <w:t>4</w:t>
            </w:r>
            <w:r w:rsidRPr="00E350D4">
              <w:rPr>
                <w:rFonts w:asciiTheme="minorHAnsi" w:eastAsia="Times New Roman" w:hAnsiTheme="minorHAnsi" w:cs="Times New Roman"/>
                <w:color w:val="000000"/>
                <w:lang w:eastAsia="en-AU"/>
              </w:rPr>
              <w:t xml:space="preserve"> billion</w:t>
            </w:r>
          </w:p>
          <w:p w14:paraId="1F66F57D" w14:textId="6DAE6108" w:rsidR="00EB790B" w:rsidRPr="00E350D4" w:rsidRDefault="0089323B" w:rsidP="008F2387">
            <w:pPr>
              <w:spacing w:before="120" w:after="120" w:line="300" w:lineRule="atLeast"/>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164</w:t>
            </w:r>
            <w:r w:rsidR="00EB790B" w:rsidRPr="00E350D4">
              <w:rPr>
                <w:rFonts w:asciiTheme="minorHAnsi" w:eastAsia="Times New Roman" w:hAnsiTheme="minorHAnsi" w:cs="Times New Roman"/>
                <w:color w:val="000000"/>
                <w:lang w:eastAsia="en-AU"/>
              </w:rPr>
              <w:t xml:space="preserve"> projects</w:t>
            </w:r>
          </w:p>
          <w:p w14:paraId="4BE47C40" w14:textId="780BE0E6" w:rsidR="00EB790B" w:rsidRPr="00E350D4" w:rsidRDefault="00EB790B" w:rsidP="008F2387">
            <w:pPr>
              <w:spacing w:before="120" w:after="120" w:line="300" w:lineRule="atLeast"/>
              <w:jc w:val="center"/>
              <w:rPr>
                <w:rFonts w:asciiTheme="minorHAnsi" w:hAnsiTheme="minorHAnsi"/>
              </w:rPr>
            </w:pPr>
            <w:r w:rsidRPr="00E350D4">
              <w:rPr>
                <w:rFonts w:asciiTheme="minorHAnsi" w:eastAsia="Times New Roman" w:hAnsiTheme="minorHAnsi" w:cs="Times New Roman"/>
                <w:color w:val="000000"/>
                <w:lang w:eastAsia="en-AU"/>
              </w:rPr>
              <w:t>2</w:t>
            </w:r>
            <w:r w:rsidR="00DE376A">
              <w:rPr>
                <w:rFonts w:asciiTheme="minorHAnsi" w:eastAsia="Times New Roman" w:hAnsiTheme="minorHAnsi" w:cs="Times New Roman"/>
                <w:color w:val="000000"/>
                <w:lang w:eastAsia="en-AU"/>
              </w:rPr>
              <w:t>3</w:t>
            </w:r>
            <w:r w:rsidRPr="00E350D4">
              <w:rPr>
                <w:rFonts w:asciiTheme="minorHAnsi" w:eastAsia="Times New Roman" w:hAnsiTheme="minorHAnsi" w:cs="Times New Roman"/>
                <w:color w:val="000000"/>
                <w:lang w:eastAsia="en-AU"/>
              </w:rPr>
              <w:t>,</w:t>
            </w:r>
            <w:r w:rsidR="00DE376A">
              <w:rPr>
                <w:rFonts w:asciiTheme="minorHAnsi" w:eastAsia="Times New Roman" w:hAnsiTheme="minorHAnsi" w:cs="Times New Roman"/>
                <w:color w:val="000000"/>
                <w:lang w:eastAsia="en-AU"/>
              </w:rPr>
              <w:t>7</w:t>
            </w:r>
            <w:r w:rsidRPr="00E350D4">
              <w:rPr>
                <w:rFonts w:asciiTheme="minorHAnsi" w:eastAsia="Times New Roman" w:hAnsiTheme="minorHAnsi" w:cs="Times New Roman"/>
                <w:color w:val="000000"/>
                <w:lang w:eastAsia="en-AU"/>
              </w:rPr>
              <w:t>00 rooms</w:t>
            </w:r>
          </w:p>
        </w:tc>
        <w:tc>
          <w:tcPr>
            <w:tcW w:w="3116" w:type="dxa"/>
          </w:tcPr>
          <w:p w14:paraId="177F73CD" w14:textId="50C94E74" w:rsidR="00EB790B" w:rsidRPr="00E350D4" w:rsidRDefault="00EB790B" w:rsidP="008F2387">
            <w:pPr>
              <w:spacing w:before="120" w:after="120" w:line="300" w:lineRule="atLeast"/>
              <w:jc w:val="center"/>
              <w:rPr>
                <w:rFonts w:asciiTheme="minorHAnsi" w:eastAsia="Times New Roman" w:hAnsiTheme="minorHAnsi" w:cs="Times New Roman"/>
                <w:color w:val="000000"/>
                <w:lang w:eastAsia="en-AU"/>
              </w:rPr>
            </w:pPr>
            <w:r w:rsidRPr="00E350D4">
              <w:rPr>
                <w:rFonts w:asciiTheme="minorHAnsi" w:eastAsia="Times New Roman" w:hAnsiTheme="minorHAnsi" w:cs="Times New Roman"/>
                <w:color w:val="000000"/>
                <w:lang w:eastAsia="en-AU"/>
              </w:rPr>
              <w:t>$8.</w:t>
            </w:r>
            <w:r w:rsidR="008D3DBD">
              <w:rPr>
                <w:rFonts w:asciiTheme="minorHAnsi" w:eastAsia="Times New Roman" w:hAnsiTheme="minorHAnsi" w:cs="Times New Roman"/>
                <w:color w:val="000000"/>
                <w:lang w:eastAsia="en-AU"/>
              </w:rPr>
              <w:t>0</w:t>
            </w:r>
            <w:r w:rsidRPr="00E350D4">
              <w:rPr>
                <w:rFonts w:asciiTheme="minorHAnsi" w:eastAsia="Times New Roman" w:hAnsiTheme="minorHAnsi" w:cs="Times New Roman"/>
                <w:color w:val="000000"/>
                <w:lang w:eastAsia="en-AU"/>
              </w:rPr>
              <w:t xml:space="preserve"> billion</w:t>
            </w:r>
          </w:p>
          <w:p w14:paraId="0F8A3D11" w14:textId="5FFB2848" w:rsidR="00EB790B" w:rsidRPr="00E350D4" w:rsidRDefault="002E264E" w:rsidP="008F2387">
            <w:pPr>
              <w:spacing w:before="120" w:after="120" w:line="300" w:lineRule="atLeast"/>
              <w:jc w:val="center"/>
              <w:rPr>
                <w:rFonts w:asciiTheme="minorHAnsi" w:eastAsia="Times New Roman" w:hAnsiTheme="minorHAnsi" w:cs="Times New Roman"/>
                <w:color w:val="000000"/>
                <w:lang w:eastAsia="en-AU"/>
              </w:rPr>
            </w:pPr>
            <w:r w:rsidRPr="002E264E">
              <w:rPr>
                <w:rFonts w:asciiTheme="minorHAnsi" w:eastAsia="Times New Roman" w:hAnsiTheme="minorHAnsi" w:cs="Times New Roman"/>
                <w:color w:val="000000"/>
                <w:lang w:eastAsia="en-AU"/>
              </w:rPr>
              <w:t>1</w:t>
            </w:r>
            <w:r w:rsidR="00FE2089" w:rsidRPr="00E350D4">
              <w:rPr>
                <w:rFonts w:asciiTheme="minorHAnsi" w:eastAsia="Times New Roman" w:hAnsiTheme="minorHAnsi" w:cs="Times New Roman"/>
                <w:color w:val="000000"/>
                <w:lang w:eastAsia="en-AU"/>
              </w:rPr>
              <w:t>0</w:t>
            </w:r>
            <w:r w:rsidR="001B1912">
              <w:rPr>
                <w:rFonts w:asciiTheme="minorHAnsi" w:eastAsia="Times New Roman" w:hAnsiTheme="minorHAnsi" w:cs="Times New Roman"/>
                <w:color w:val="000000"/>
                <w:lang w:eastAsia="en-AU"/>
              </w:rPr>
              <w:t>2</w:t>
            </w:r>
            <w:r w:rsidR="00EB790B" w:rsidRPr="00E350D4">
              <w:rPr>
                <w:rFonts w:asciiTheme="minorHAnsi" w:eastAsia="Times New Roman" w:hAnsiTheme="minorHAnsi" w:cs="Times New Roman"/>
                <w:color w:val="000000"/>
                <w:lang w:eastAsia="en-AU"/>
              </w:rPr>
              <w:t xml:space="preserve"> projects</w:t>
            </w:r>
          </w:p>
          <w:p w14:paraId="4555747D" w14:textId="1424BF5B" w:rsidR="00EB790B" w:rsidRPr="00E350D4" w:rsidRDefault="007D580B" w:rsidP="008F2387">
            <w:pPr>
              <w:spacing w:before="120" w:after="120" w:line="300" w:lineRule="atLeast"/>
              <w:jc w:val="center"/>
              <w:rPr>
                <w:rFonts w:asciiTheme="minorHAnsi" w:hAnsiTheme="minorHAnsi"/>
              </w:rPr>
            </w:pPr>
            <w:r>
              <w:rPr>
                <w:rFonts w:asciiTheme="minorHAnsi" w:eastAsia="Times New Roman" w:hAnsiTheme="minorHAnsi" w:cs="Times New Roman"/>
                <w:color w:val="000000"/>
                <w:lang w:eastAsia="en-AU"/>
              </w:rPr>
              <w:t>16,700</w:t>
            </w:r>
            <w:r w:rsidR="00EB790B" w:rsidRPr="00E350D4">
              <w:rPr>
                <w:rFonts w:asciiTheme="minorHAnsi" w:eastAsia="Times New Roman" w:hAnsiTheme="minorHAnsi" w:cs="Times New Roman"/>
                <w:color w:val="000000"/>
                <w:lang w:eastAsia="en-AU"/>
              </w:rPr>
              <w:t xml:space="preserve"> rooms</w:t>
            </w:r>
          </w:p>
        </w:tc>
        <w:tc>
          <w:tcPr>
            <w:tcW w:w="3117" w:type="dxa"/>
          </w:tcPr>
          <w:p w14:paraId="7A62CBE7" w14:textId="251398EE" w:rsidR="00EB790B" w:rsidRPr="00E350D4" w:rsidRDefault="00EB790B" w:rsidP="008F2387">
            <w:pPr>
              <w:spacing w:before="120" w:after="120" w:line="300" w:lineRule="atLeast"/>
              <w:jc w:val="center"/>
              <w:rPr>
                <w:rFonts w:asciiTheme="minorHAnsi" w:eastAsia="Times New Roman" w:hAnsiTheme="minorHAnsi" w:cs="Times New Roman"/>
                <w:color w:val="000000"/>
                <w:lang w:eastAsia="en-AU"/>
              </w:rPr>
            </w:pPr>
            <w:r w:rsidRPr="00E350D4">
              <w:rPr>
                <w:rFonts w:asciiTheme="minorHAnsi" w:eastAsia="Times New Roman" w:hAnsiTheme="minorHAnsi" w:cs="Times New Roman"/>
                <w:color w:val="000000"/>
                <w:lang w:eastAsia="en-AU"/>
              </w:rPr>
              <w:t>$3.</w:t>
            </w:r>
            <w:r w:rsidR="00F7189B" w:rsidRPr="00E350D4">
              <w:rPr>
                <w:rFonts w:asciiTheme="minorHAnsi" w:eastAsia="Times New Roman" w:hAnsiTheme="minorHAnsi" w:cs="Times New Roman"/>
                <w:color w:val="000000"/>
                <w:lang w:eastAsia="en-AU"/>
              </w:rPr>
              <w:t>5</w:t>
            </w:r>
            <w:r w:rsidRPr="00E350D4">
              <w:rPr>
                <w:rFonts w:asciiTheme="minorHAnsi" w:eastAsia="Times New Roman" w:hAnsiTheme="minorHAnsi" w:cs="Times New Roman"/>
                <w:color w:val="000000"/>
                <w:lang w:eastAsia="en-AU"/>
              </w:rPr>
              <w:t xml:space="preserve"> billion</w:t>
            </w:r>
          </w:p>
          <w:p w14:paraId="3B355DB8" w14:textId="6CB5D863" w:rsidR="00EB790B" w:rsidRPr="00E350D4" w:rsidRDefault="00EB790B" w:rsidP="008F2387">
            <w:pPr>
              <w:spacing w:before="120" w:after="120" w:line="300" w:lineRule="atLeast"/>
              <w:jc w:val="center"/>
              <w:rPr>
                <w:rFonts w:asciiTheme="minorHAnsi" w:eastAsia="Times New Roman" w:hAnsiTheme="minorHAnsi" w:cs="Times New Roman"/>
                <w:color w:val="000000"/>
                <w:lang w:eastAsia="en-AU"/>
              </w:rPr>
            </w:pPr>
            <w:r w:rsidRPr="00E350D4">
              <w:rPr>
                <w:rFonts w:asciiTheme="minorHAnsi" w:eastAsia="Times New Roman" w:hAnsiTheme="minorHAnsi" w:cs="Times New Roman"/>
                <w:color w:val="000000"/>
                <w:lang w:eastAsia="en-AU"/>
              </w:rPr>
              <w:t>6</w:t>
            </w:r>
            <w:r w:rsidR="009304D4" w:rsidRPr="00E350D4">
              <w:rPr>
                <w:rFonts w:asciiTheme="minorHAnsi" w:eastAsia="Times New Roman" w:hAnsiTheme="minorHAnsi" w:cs="Times New Roman"/>
                <w:color w:val="000000"/>
                <w:lang w:eastAsia="en-AU"/>
              </w:rPr>
              <w:t>2</w:t>
            </w:r>
            <w:r w:rsidRPr="00E350D4">
              <w:rPr>
                <w:rFonts w:asciiTheme="minorHAnsi" w:eastAsia="Times New Roman" w:hAnsiTheme="minorHAnsi" w:cs="Times New Roman"/>
                <w:color w:val="000000"/>
                <w:lang w:eastAsia="en-AU"/>
              </w:rPr>
              <w:t xml:space="preserve"> projects</w:t>
            </w:r>
          </w:p>
          <w:p w14:paraId="3FD1BC36" w14:textId="6EBA56ED" w:rsidR="00EB790B" w:rsidRPr="00E350D4" w:rsidRDefault="009A04B6" w:rsidP="008F2387">
            <w:pPr>
              <w:spacing w:before="120" w:after="120" w:line="300" w:lineRule="atLeast"/>
              <w:jc w:val="center"/>
              <w:rPr>
                <w:rFonts w:asciiTheme="minorHAnsi" w:eastAsia="Times New Roman" w:hAnsiTheme="minorHAnsi" w:cs="Times New Roman"/>
                <w:color w:val="000000"/>
                <w:lang w:eastAsia="en-AU"/>
              </w:rPr>
            </w:pPr>
            <w:r w:rsidRPr="00E350D4">
              <w:rPr>
                <w:rFonts w:asciiTheme="minorHAnsi" w:eastAsia="Times New Roman" w:hAnsiTheme="minorHAnsi" w:cs="Times New Roman"/>
                <w:color w:val="000000"/>
                <w:lang w:eastAsia="en-AU"/>
              </w:rPr>
              <w:t>7</w:t>
            </w:r>
            <w:r w:rsidR="00EB790B" w:rsidRPr="00E350D4">
              <w:rPr>
                <w:rFonts w:asciiTheme="minorHAnsi" w:eastAsia="Times New Roman" w:hAnsiTheme="minorHAnsi" w:cs="Times New Roman"/>
                <w:color w:val="000000"/>
                <w:lang w:eastAsia="en-AU"/>
              </w:rPr>
              <w:t>,</w:t>
            </w:r>
            <w:r w:rsidR="00AC6583" w:rsidRPr="00E350D4">
              <w:rPr>
                <w:rFonts w:asciiTheme="minorHAnsi" w:eastAsia="Times New Roman" w:hAnsiTheme="minorHAnsi" w:cs="Times New Roman"/>
                <w:color w:val="000000"/>
                <w:lang w:eastAsia="en-AU"/>
              </w:rPr>
              <w:t>0</w:t>
            </w:r>
            <w:r w:rsidR="00EB790B" w:rsidRPr="00E350D4">
              <w:rPr>
                <w:rFonts w:asciiTheme="minorHAnsi" w:eastAsia="Times New Roman" w:hAnsiTheme="minorHAnsi" w:cs="Times New Roman"/>
                <w:color w:val="000000"/>
                <w:lang w:eastAsia="en-AU"/>
              </w:rPr>
              <w:t xml:space="preserve">00 rooms </w:t>
            </w:r>
          </w:p>
        </w:tc>
      </w:tr>
      <w:tr w:rsidR="00EB790B" w:rsidRPr="00CD1584" w14:paraId="794DB405" w14:textId="77777777">
        <w:trPr>
          <w:jc w:val="center"/>
        </w:trPr>
        <w:tc>
          <w:tcPr>
            <w:tcW w:w="3117" w:type="dxa"/>
          </w:tcPr>
          <w:p w14:paraId="430FD929" w14:textId="4B6BBB11" w:rsidR="00EB790B" w:rsidRPr="00C97ECC" w:rsidRDefault="00EB790B" w:rsidP="008F2387">
            <w:pPr>
              <w:spacing w:before="120" w:after="120" w:line="300" w:lineRule="atLeast"/>
              <w:jc w:val="center"/>
              <w:rPr>
                <w:rFonts w:asciiTheme="minorHAnsi" w:eastAsia="Times New Roman" w:hAnsiTheme="minorHAnsi" w:cs="Times New Roman"/>
                <w:color w:val="000000"/>
                <w:lang w:eastAsia="en-AU"/>
              </w:rPr>
            </w:pPr>
            <w:r w:rsidRPr="00C97ECC">
              <w:rPr>
                <w:rFonts w:asciiTheme="minorHAnsi" w:eastAsia="Times New Roman" w:hAnsiTheme="minorHAnsi" w:cs="Times New Roman"/>
                <w:color w:val="000000"/>
                <w:lang w:eastAsia="en-AU"/>
              </w:rPr>
              <w:t>Change from 202</w:t>
            </w:r>
            <w:r w:rsidR="00C05117" w:rsidRPr="00C97ECC">
              <w:rPr>
                <w:rFonts w:asciiTheme="minorHAnsi" w:eastAsia="Times New Roman" w:hAnsiTheme="minorHAnsi" w:cs="Times New Roman"/>
                <w:color w:val="000000"/>
                <w:lang w:eastAsia="en-AU"/>
              </w:rPr>
              <w:t>2</w:t>
            </w:r>
            <w:r w:rsidR="0039522C">
              <w:rPr>
                <w:rFonts w:asciiTheme="minorHAnsi" w:eastAsia="Times New Roman" w:hAnsiTheme="minorHAnsi" w:cs="Times New Roman"/>
                <w:color w:val="000000"/>
                <w:lang w:eastAsia="en-AU"/>
              </w:rPr>
              <w:t>–</w:t>
            </w:r>
            <w:r w:rsidRPr="00C97ECC">
              <w:rPr>
                <w:rFonts w:asciiTheme="minorHAnsi" w:eastAsia="Times New Roman" w:hAnsiTheme="minorHAnsi" w:cs="Times New Roman"/>
                <w:color w:val="000000"/>
                <w:lang w:eastAsia="en-AU"/>
              </w:rPr>
              <w:t>2</w:t>
            </w:r>
            <w:r w:rsidR="00C05117" w:rsidRPr="00C97ECC">
              <w:rPr>
                <w:rFonts w:asciiTheme="minorHAnsi" w:eastAsia="Times New Roman" w:hAnsiTheme="minorHAnsi" w:cs="Times New Roman"/>
                <w:color w:val="000000"/>
                <w:lang w:eastAsia="en-AU"/>
              </w:rPr>
              <w:t>3</w:t>
            </w:r>
            <w:r w:rsidRPr="00C97ECC">
              <w:rPr>
                <w:rFonts w:asciiTheme="minorHAnsi" w:eastAsia="Times New Roman" w:hAnsiTheme="minorHAnsi" w:cs="Times New Roman"/>
                <w:color w:val="000000"/>
                <w:lang w:eastAsia="en-AU"/>
              </w:rPr>
              <w:t xml:space="preserve">: </w:t>
            </w:r>
          </w:p>
          <w:p w14:paraId="520ADD53" w14:textId="1BA66429" w:rsidR="00EB790B" w:rsidRPr="00C97ECC" w:rsidRDefault="00305FBB" w:rsidP="008F2387">
            <w:pPr>
              <w:spacing w:before="120" w:after="120" w:line="300" w:lineRule="atLeast"/>
              <w:jc w:val="center"/>
              <w:rPr>
                <w:rFonts w:asciiTheme="minorHAnsi" w:eastAsia="Times New Roman" w:hAnsiTheme="minorHAnsi" w:cs="Times New Roman"/>
                <w:color w:val="000000"/>
                <w:lang w:eastAsia="en-AU"/>
              </w:rPr>
            </w:pPr>
            <w:r w:rsidRPr="00C97ECC">
              <w:rPr>
                <w:rFonts w:asciiTheme="minorHAnsi" w:eastAsia="Times New Roman" w:hAnsiTheme="minorHAnsi" w:cs="Times New Roman"/>
                <w:color w:val="000000"/>
                <w:lang w:eastAsia="en-AU"/>
              </w:rPr>
              <w:t>Down</w:t>
            </w:r>
            <w:r w:rsidR="00EB790B" w:rsidRPr="00C97ECC">
              <w:rPr>
                <w:rFonts w:asciiTheme="minorHAnsi" w:eastAsia="Times New Roman" w:hAnsiTheme="minorHAnsi" w:cs="Times New Roman"/>
                <w:color w:val="000000"/>
                <w:lang w:eastAsia="en-AU"/>
              </w:rPr>
              <w:t xml:space="preserve"> $0.</w:t>
            </w:r>
            <w:r w:rsidR="006C6E95" w:rsidRPr="00C97ECC">
              <w:rPr>
                <w:rFonts w:asciiTheme="minorHAnsi" w:eastAsia="Times New Roman" w:hAnsiTheme="minorHAnsi" w:cs="Times New Roman"/>
                <w:color w:val="000000"/>
                <w:lang w:eastAsia="en-AU"/>
              </w:rPr>
              <w:t>8</w:t>
            </w:r>
            <w:r w:rsidR="00EB790B" w:rsidRPr="00C97ECC">
              <w:rPr>
                <w:rFonts w:asciiTheme="minorHAnsi" w:eastAsia="Times New Roman" w:hAnsiTheme="minorHAnsi" w:cs="Times New Roman"/>
                <w:color w:val="000000"/>
                <w:lang w:eastAsia="en-AU"/>
              </w:rPr>
              <w:t xml:space="preserve"> billion </w:t>
            </w:r>
          </w:p>
          <w:p w14:paraId="05D9946B" w14:textId="122987B0" w:rsidR="00EB790B" w:rsidRPr="00C97ECC" w:rsidRDefault="00EB790B" w:rsidP="008F2387">
            <w:pPr>
              <w:spacing w:before="120" w:after="120" w:line="300" w:lineRule="atLeast"/>
              <w:jc w:val="center"/>
              <w:rPr>
                <w:rFonts w:asciiTheme="minorHAnsi" w:eastAsia="Times New Roman" w:hAnsiTheme="minorHAnsi" w:cs="Times New Roman"/>
                <w:color w:val="000000"/>
                <w:lang w:eastAsia="en-AU"/>
              </w:rPr>
            </w:pPr>
            <w:r w:rsidRPr="00C97ECC">
              <w:rPr>
                <w:rFonts w:asciiTheme="minorHAnsi" w:eastAsia="Times New Roman" w:hAnsiTheme="minorHAnsi" w:cs="Times New Roman"/>
                <w:color w:val="000000"/>
                <w:lang w:eastAsia="en-AU"/>
              </w:rPr>
              <w:t xml:space="preserve">Up </w:t>
            </w:r>
            <w:r w:rsidR="005B3BFF" w:rsidRPr="00C97ECC">
              <w:rPr>
                <w:rFonts w:asciiTheme="minorHAnsi" w:eastAsia="Times New Roman" w:hAnsiTheme="minorHAnsi" w:cs="Times New Roman"/>
                <w:color w:val="000000"/>
                <w:lang w:eastAsia="en-AU"/>
              </w:rPr>
              <w:t>5</w:t>
            </w:r>
            <w:r w:rsidRPr="00C97ECC">
              <w:rPr>
                <w:rFonts w:asciiTheme="minorHAnsi" w:eastAsia="Times New Roman" w:hAnsiTheme="minorHAnsi" w:cs="Times New Roman"/>
                <w:color w:val="000000"/>
                <w:lang w:eastAsia="en-AU"/>
              </w:rPr>
              <w:t xml:space="preserve"> projects </w:t>
            </w:r>
          </w:p>
          <w:p w14:paraId="071F897E" w14:textId="50FD12AA" w:rsidR="00EB790B" w:rsidRPr="00C97ECC" w:rsidRDefault="00B83A80" w:rsidP="008F2387">
            <w:pPr>
              <w:spacing w:before="120" w:after="120" w:line="300" w:lineRule="atLeast"/>
              <w:jc w:val="center"/>
              <w:rPr>
                <w:rFonts w:asciiTheme="minorHAnsi" w:hAnsiTheme="minorHAnsi"/>
              </w:rPr>
            </w:pPr>
            <w:r>
              <w:rPr>
                <w:rFonts w:asciiTheme="minorHAnsi" w:eastAsia="Times New Roman" w:hAnsiTheme="minorHAnsi" w:cs="Times New Roman"/>
                <w:color w:val="000000"/>
                <w:lang w:eastAsia="en-AU"/>
              </w:rPr>
              <w:t>Down 7</w:t>
            </w:r>
            <w:r w:rsidR="00E350D4" w:rsidRPr="00C97ECC">
              <w:rPr>
                <w:rFonts w:asciiTheme="minorHAnsi" w:eastAsia="Times New Roman" w:hAnsiTheme="minorHAnsi" w:cs="Times New Roman"/>
                <w:color w:val="000000"/>
                <w:lang w:eastAsia="en-AU"/>
              </w:rPr>
              <w:t>00</w:t>
            </w:r>
            <w:r w:rsidR="00EB790B" w:rsidRPr="00C97ECC">
              <w:rPr>
                <w:rFonts w:asciiTheme="minorHAnsi" w:eastAsia="Times New Roman" w:hAnsiTheme="minorHAnsi" w:cs="Times New Roman"/>
                <w:color w:val="000000"/>
                <w:lang w:eastAsia="en-AU"/>
              </w:rPr>
              <w:t xml:space="preserve"> rooms</w:t>
            </w:r>
          </w:p>
        </w:tc>
        <w:tc>
          <w:tcPr>
            <w:tcW w:w="3116" w:type="dxa"/>
          </w:tcPr>
          <w:p w14:paraId="5FEA5839" w14:textId="7C718303" w:rsidR="00EB790B" w:rsidRPr="00604E0D" w:rsidRDefault="00C05117" w:rsidP="008F2387">
            <w:pPr>
              <w:spacing w:before="120" w:after="120" w:line="300" w:lineRule="atLeast"/>
              <w:jc w:val="center"/>
              <w:rPr>
                <w:rFonts w:asciiTheme="minorHAnsi" w:eastAsia="Times New Roman" w:hAnsiTheme="minorHAnsi" w:cs="Times New Roman"/>
                <w:color w:val="000000"/>
                <w:lang w:eastAsia="en-AU"/>
              </w:rPr>
            </w:pPr>
            <w:r w:rsidRPr="00604E0D">
              <w:rPr>
                <w:rFonts w:asciiTheme="minorHAnsi" w:eastAsia="Times New Roman" w:hAnsiTheme="minorHAnsi" w:cs="Times New Roman"/>
                <w:color w:val="000000"/>
                <w:lang w:eastAsia="en-AU"/>
              </w:rPr>
              <w:t>Change from 2022</w:t>
            </w:r>
            <w:r w:rsidR="0039522C">
              <w:rPr>
                <w:rFonts w:asciiTheme="minorHAnsi" w:eastAsia="Times New Roman" w:hAnsiTheme="minorHAnsi" w:cs="Times New Roman"/>
                <w:color w:val="000000"/>
                <w:lang w:eastAsia="en-AU"/>
              </w:rPr>
              <w:t>–</w:t>
            </w:r>
            <w:r w:rsidRPr="00604E0D">
              <w:rPr>
                <w:rFonts w:asciiTheme="minorHAnsi" w:eastAsia="Times New Roman" w:hAnsiTheme="minorHAnsi" w:cs="Times New Roman"/>
                <w:color w:val="000000"/>
                <w:lang w:eastAsia="en-AU"/>
              </w:rPr>
              <w:t>23</w:t>
            </w:r>
            <w:r w:rsidR="00EB790B" w:rsidRPr="00604E0D">
              <w:rPr>
                <w:rFonts w:asciiTheme="minorHAnsi" w:eastAsia="Times New Roman" w:hAnsiTheme="minorHAnsi" w:cs="Times New Roman"/>
                <w:color w:val="000000"/>
                <w:lang w:eastAsia="en-AU"/>
              </w:rPr>
              <w:t xml:space="preserve">: </w:t>
            </w:r>
          </w:p>
          <w:p w14:paraId="3C477E6A" w14:textId="49007CC5" w:rsidR="00EB790B" w:rsidRPr="00604E0D" w:rsidRDefault="00D8551A" w:rsidP="008F2387">
            <w:pPr>
              <w:spacing w:before="120" w:after="120" w:line="300" w:lineRule="atLeast"/>
              <w:jc w:val="center"/>
              <w:rPr>
                <w:rFonts w:asciiTheme="minorHAnsi" w:eastAsia="Times New Roman" w:hAnsiTheme="minorHAnsi" w:cs="Times New Roman"/>
                <w:color w:val="000000"/>
                <w:lang w:eastAsia="en-AU"/>
              </w:rPr>
            </w:pPr>
            <w:r w:rsidRPr="00604E0D">
              <w:rPr>
                <w:rFonts w:asciiTheme="minorHAnsi" w:eastAsia="Times New Roman" w:hAnsiTheme="minorHAnsi" w:cs="Times New Roman"/>
                <w:color w:val="000000"/>
                <w:lang w:eastAsia="en-AU"/>
              </w:rPr>
              <w:t>Down</w:t>
            </w:r>
            <w:r w:rsidR="00EB790B" w:rsidRPr="00604E0D">
              <w:rPr>
                <w:rFonts w:asciiTheme="minorHAnsi" w:eastAsia="Times New Roman" w:hAnsiTheme="minorHAnsi" w:cs="Times New Roman"/>
                <w:color w:val="000000"/>
                <w:lang w:eastAsia="en-AU"/>
              </w:rPr>
              <w:t xml:space="preserve"> $0.</w:t>
            </w:r>
            <w:r w:rsidR="008D3DBD" w:rsidRPr="00604E0D">
              <w:rPr>
                <w:rFonts w:asciiTheme="minorHAnsi" w:eastAsia="Times New Roman" w:hAnsiTheme="minorHAnsi" w:cs="Times New Roman"/>
                <w:color w:val="000000"/>
                <w:lang w:eastAsia="en-AU"/>
              </w:rPr>
              <w:t>6</w:t>
            </w:r>
            <w:r w:rsidR="00EB790B" w:rsidRPr="00604E0D">
              <w:rPr>
                <w:rFonts w:asciiTheme="minorHAnsi" w:eastAsia="Times New Roman" w:hAnsiTheme="minorHAnsi" w:cs="Times New Roman"/>
                <w:color w:val="000000"/>
                <w:lang w:eastAsia="en-AU"/>
              </w:rPr>
              <w:t xml:space="preserve"> billion </w:t>
            </w:r>
          </w:p>
          <w:p w14:paraId="1DC97E14" w14:textId="2672D9FA" w:rsidR="00EB790B" w:rsidRPr="00604E0D" w:rsidRDefault="00EB790B" w:rsidP="008F2387">
            <w:pPr>
              <w:spacing w:before="120" w:after="120" w:line="300" w:lineRule="atLeast"/>
              <w:jc w:val="center"/>
              <w:rPr>
                <w:rFonts w:asciiTheme="minorHAnsi" w:eastAsia="Times New Roman" w:hAnsiTheme="minorHAnsi" w:cs="Times New Roman"/>
                <w:color w:val="000000"/>
                <w:lang w:eastAsia="en-AU"/>
              </w:rPr>
            </w:pPr>
            <w:r w:rsidRPr="00604E0D">
              <w:rPr>
                <w:rFonts w:asciiTheme="minorHAnsi" w:eastAsia="Times New Roman" w:hAnsiTheme="minorHAnsi" w:cs="Times New Roman"/>
                <w:color w:val="000000"/>
                <w:lang w:eastAsia="en-AU"/>
              </w:rPr>
              <w:t xml:space="preserve">Up </w:t>
            </w:r>
            <w:r w:rsidR="008D3DBD" w:rsidRPr="00604E0D">
              <w:rPr>
                <w:rFonts w:asciiTheme="minorHAnsi" w:eastAsia="Times New Roman" w:hAnsiTheme="minorHAnsi" w:cs="Times New Roman"/>
                <w:color w:val="000000"/>
                <w:lang w:eastAsia="en-AU"/>
              </w:rPr>
              <w:t>4</w:t>
            </w:r>
            <w:r w:rsidRPr="00604E0D">
              <w:rPr>
                <w:rFonts w:asciiTheme="minorHAnsi" w:eastAsia="Times New Roman" w:hAnsiTheme="minorHAnsi" w:cs="Times New Roman"/>
                <w:color w:val="000000"/>
                <w:lang w:eastAsia="en-AU"/>
              </w:rPr>
              <w:t xml:space="preserve"> projects</w:t>
            </w:r>
          </w:p>
          <w:p w14:paraId="55F68960" w14:textId="531D4000" w:rsidR="00EB790B" w:rsidRPr="00604E0D" w:rsidRDefault="00F84D6E" w:rsidP="008F2387">
            <w:pPr>
              <w:spacing w:before="120" w:after="120" w:line="300" w:lineRule="atLeast"/>
              <w:jc w:val="center"/>
              <w:rPr>
                <w:rFonts w:asciiTheme="minorHAnsi" w:hAnsiTheme="minorHAnsi"/>
              </w:rPr>
            </w:pPr>
            <w:r w:rsidRPr="00604E0D">
              <w:rPr>
                <w:rFonts w:asciiTheme="minorHAnsi" w:hAnsiTheme="minorHAnsi"/>
              </w:rPr>
              <w:t>Down 900</w:t>
            </w:r>
            <w:r w:rsidR="00E350D4" w:rsidRPr="00604E0D">
              <w:rPr>
                <w:rFonts w:asciiTheme="minorHAnsi" w:hAnsiTheme="minorHAnsi"/>
              </w:rPr>
              <w:t xml:space="preserve"> rooms</w:t>
            </w:r>
          </w:p>
        </w:tc>
        <w:tc>
          <w:tcPr>
            <w:tcW w:w="3117" w:type="dxa"/>
          </w:tcPr>
          <w:p w14:paraId="6E0105FC" w14:textId="2DE970BC" w:rsidR="00EB790B" w:rsidRPr="00604E0D" w:rsidRDefault="00C05117" w:rsidP="008F2387">
            <w:pPr>
              <w:spacing w:before="120" w:after="120" w:line="300" w:lineRule="atLeast"/>
              <w:jc w:val="center"/>
              <w:rPr>
                <w:rFonts w:asciiTheme="minorHAnsi" w:eastAsia="Times New Roman" w:hAnsiTheme="minorHAnsi" w:cs="Times New Roman"/>
                <w:color w:val="000000"/>
                <w:lang w:eastAsia="en-AU"/>
              </w:rPr>
            </w:pPr>
            <w:r w:rsidRPr="00604E0D">
              <w:rPr>
                <w:rFonts w:asciiTheme="minorHAnsi" w:eastAsia="Times New Roman" w:hAnsiTheme="minorHAnsi" w:cs="Times New Roman"/>
                <w:color w:val="000000"/>
                <w:lang w:eastAsia="en-AU"/>
              </w:rPr>
              <w:t>Change from 2022</w:t>
            </w:r>
            <w:r w:rsidR="0039522C">
              <w:rPr>
                <w:rFonts w:asciiTheme="minorHAnsi" w:eastAsia="Times New Roman" w:hAnsiTheme="minorHAnsi" w:cs="Times New Roman"/>
                <w:color w:val="000000"/>
                <w:lang w:eastAsia="en-AU"/>
              </w:rPr>
              <w:t>–</w:t>
            </w:r>
            <w:r w:rsidRPr="00604E0D">
              <w:rPr>
                <w:rFonts w:asciiTheme="minorHAnsi" w:eastAsia="Times New Roman" w:hAnsiTheme="minorHAnsi" w:cs="Times New Roman"/>
                <w:color w:val="000000"/>
                <w:lang w:eastAsia="en-AU"/>
              </w:rPr>
              <w:t>23</w:t>
            </w:r>
            <w:r w:rsidR="00EB790B" w:rsidRPr="00604E0D">
              <w:rPr>
                <w:rFonts w:asciiTheme="minorHAnsi" w:eastAsia="Times New Roman" w:hAnsiTheme="minorHAnsi" w:cs="Times New Roman"/>
                <w:color w:val="000000"/>
                <w:lang w:eastAsia="en-AU"/>
              </w:rPr>
              <w:t xml:space="preserve">: </w:t>
            </w:r>
          </w:p>
          <w:p w14:paraId="384F73C8" w14:textId="0FE43046" w:rsidR="00EB790B" w:rsidRPr="00604E0D" w:rsidRDefault="00F7189B" w:rsidP="008F2387">
            <w:pPr>
              <w:spacing w:before="120" w:after="120" w:line="300" w:lineRule="atLeast"/>
              <w:jc w:val="center"/>
              <w:rPr>
                <w:rFonts w:asciiTheme="minorHAnsi" w:eastAsia="Times New Roman" w:hAnsiTheme="minorHAnsi" w:cs="Times New Roman"/>
                <w:color w:val="000000"/>
                <w:lang w:eastAsia="en-AU"/>
              </w:rPr>
            </w:pPr>
            <w:r w:rsidRPr="00604E0D">
              <w:rPr>
                <w:rFonts w:asciiTheme="minorHAnsi" w:eastAsia="Times New Roman" w:hAnsiTheme="minorHAnsi" w:cs="Times New Roman"/>
                <w:color w:val="000000"/>
                <w:lang w:eastAsia="en-AU"/>
              </w:rPr>
              <w:t xml:space="preserve">Down </w:t>
            </w:r>
            <w:r w:rsidR="00EB790B" w:rsidRPr="00604E0D">
              <w:rPr>
                <w:rFonts w:asciiTheme="minorHAnsi" w:eastAsia="Times New Roman" w:hAnsiTheme="minorHAnsi" w:cs="Times New Roman"/>
                <w:color w:val="000000"/>
                <w:lang w:eastAsia="en-AU"/>
              </w:rPr>
              <w:t>$0.</w:t>
            </w:r>
            <w:r w:rsidRPr="00604E0D">
              <w:rPr>
                <w:rFonts w:asciiTheme="minorHAnsi" w:eastAsia="Times New Roman" w:hAnsiTheme="minorHAnsi" w:cs="Times New Roman"/>
                <w:color w:val="000000"/>
                <w:lang w:eastAsia="en-AU"/>
              </w:rPr>
              <w:t>1</w:t>
            </w:r>
            <w:r w:rsidR="00EB790B" w:rsidRPr="00604E0D">
              <w:rPr>
                <w:rFonts w:asciiTheme="minorHAnsi" w:eastAsia="Times New Roman" w:hAnsiTheme="minorHAnsi" w:cs="Times New Roman"/>
                <w:color w:val="000000"/>
                <w:lang w:eastAsia="en-AU"/>
              </w:rPr>
              <w:t xml:space="preserve"> billion</w:t>
            </w:r>
          </w:p>
          <w:p w14:paraId="5B199466" w14:textId="419510D9" w:rsidR="00EB790B" w:rsidRPr="00604E0D" w:rsidRDefault="00CA7561" w:rsidP="008F2387">
            <w:pPr>
              <w:spacing w:before="120" w:after="120" w:line="300" w:lineRule="atLeast"/>
              <w:jc w:val="center"/>
              <w:rPr>
                <w:rFonts w:asciiTheme="minorHAnsi" w:eastAsia="Times New Roman" w:hAnsiTheme="minorHAnsi" w:cs="Times New Roman"/>
                <w:color w:val="000000"/>
                <w:lang w:eastAsia="en-AU"/>
              </w:rPr>
            </w:pPr>
            <w:r w:rsidRPr="00604E0D">
              <w:rPr>
                <w:rFonts w:asciiTheme="minorHAnsi" w:eastAsia="Times New Roman" w:hAnsiTheme="minorHAnsi" w:cs="Times New Roman"/>
                <w:color w:val="000000"/>
                <w:lang w:eastAsia="en-AU"/>
              </w:rPr>
              <w:t>Up</w:t>
            </w:r>
            <w:r w:rsidR="00A828DF" w:rsidRPr="00604E0D">
              <w:rPr>
                <w:rFonts w:asciiTheme="minorHAnsi" w:eastAsia="Times New Roman" w:hAnsiTheme="minorHAnsi" w:cs="Times New Roman"/>
                <w:color w:val="000000"/>
                <w:lang w:eastAsia="en-AU"/>
              </w:rPr>
              <w:t xml:space="preserve"> 1 project </w:t>
            </w:r>
          </w:p>
          <w:p w14:paraId="7F5EF799" w14:textId="514CB393" w:rsidR="00EB790B" w:rsidRPr="00604E0D" w:rsidRDefault="00EB790B" w:rsidP="008F2387">
            <w:pPr>
              <w:spacing w:before="120" w:after="120" w:line="300" w:lineRule="atLeast"/>
              <w:jc w:val="center"/>
              <w:rPr>
                <w:rFonts w:asciiTheme="minorHAnsi" w:hAnsiTheme="minorHAnsi"/>
                <w:lang w:eastAsia="en-AU"/>
              </w:rPr>
            </w:pPr>
            <w:r w:rsidRPr="00604E0D">
              <w:rPr>
                <w:rFonts w:asciiTheme="minorHAnsi" w:hAnsiTheme="minorHAnsi"/>
              </w:rPr>
              <w:t xml:space="preserve">Up </w:t>
            </w:r>
            <w:r w:rsidR="00877506" w:rsidRPr="00604E0D">
              <w:rPr>
                <w:rFonts w:asciiTheme="minorHAnsi" w:hAnsiTheme="minorHAnsi"/>
              </w:rPr>
              <w:t>2</w:t>
            </w:r>
            <w:r w:rsidR="00693045" w:rsidRPr="00604E0D">
              <w:rPr>
                <w:rFonts w:asciiTheme="minorHAnsi" w:hAnsiTheme="minorHAnsi"/>
              </w:rPr>
              <w:t>0</w:t>
            </w:r>
            <w:r w:rsidRPr="00604E0D">
              <w:rPr>
                <w:rFonts w:asciiTheme="minorHAnsi" w:eastAsia="Times New Roman" w:hAnsiTheme="minorHAnsi" w:cs="Times New Roman"/>
                <w:color w:val="000000"/>
                <w:lang w:eastAsia="en-AU"/>
              </w:rPr>
              <w:t>0 rooms</w:t>
            </w:r>
          </w:p>
        </w:tc>
      </w:tr>
      <w:bookmarkEnd w:id="139"/>
      <w:bookmarkEnd w:id="140"/>
      <w:bookmarkEnd w:id="141"/>
    </w:tbl>
    <w:p w14:paraId="0F7E5224" w14:textId="77777777" w:rsidR="00D60256" w:rsidRDefault="00D60256" w:rsidP="00EB790B"/>
    <w:p w14:paraId="14107AD5" w14:textId="2939E029" w:rsidR="008B7600" w:rsidRDefault="00EB790B" w:rsidP="00EB790B">
      <w:r w:rsidRPr="00CB1E57">
        <w:t xml:space="preserve">Accommodation services are </w:t>
      </w:r>
      <w:r w:rsidR="005B2E22">
        <w:t>essential for</w:t>
      </w:r>
      <w:r w:rsidR="00CB1E57" w:rsidRPr="00CB1E57">
        <w:t xml:space="preserve"> </w:t>
      </w:r>
      <w:r w:rsidR="005B2E22">
        <w:t xml:space="preserve">the </w:t>
      </w:r>
      <w:r w:rsidRPr="00CB1E57">
        <w:t>tourism</w:t>
      </w:r>
      <w:r w:rsidR="009A6BB8" w:rsidRPr="00CB1E57">
        <w:t xml:space="preserve"> </w:t>
      </w:r>
      <w:r w:rsidR="009A6BB8">
        <w:t xml:space="preserve">sector </w:t>
      </w:r>
      <w:r w:rsidR="009A6BB8" w:rsidRPr="00CB1E57">
        <w:t xml:space="preserve">to support </w:t>
      </w:r>
      <w:r w:rsidR="00CB3A9D">
        <w:t>visitor</w:t>
      </w:r>
      <w:r w:rsidR="009A6BB8">
        <w:t xml:space="preserve"> </w:t>
      </w:r>
      <w:r w:rsidR="009A6BB8" w:rsidRPr="00CB1E57">
        <w:t>demand</w:t>
      </w:r>
      <w:r w:rsidRPr="00CB1E57">
        <w:t>.</w:t>
      </w:r>
      <w:r w:rsidR="00961693" w:rsidRPr="00CB1E57">
        <w:t xml:space="preserve"> </w:t>
      </w:r>
      <w:r w:rsidR="003D4BA1">
        <w:t>In 2023</w:t>
      </w:r>
      <w:r w:rsidR="00313822">
        <w:noBreakHyphen/>
      </w:r>
      <w:r w:rsidR="003D4BA1">
        <w:t>24</w:t>
      </w:r>
      <w:r w:rsidR="00112C31">
        <w:t xml:space="preserve"> there was a stable level of investment </w:t>
      </w:r>
      <w:r w:rsidR="00E95444">
        <w:t>compared to 2022</w:t>
      </w:r>
      <w:r w:rsidR="0039522C">
        <w:t>–</w:t>
      </w:r>
      <w:r w:rsidR="00E95444">
        <w:t xml:space="preserve">23, </w:t>
      </w:r>
      <w:r w:rsidR="00112C31">
        <w:t xml:space="preserve">with some new projects </w:t>
      </w:r>
      <w:r w:rsidR="002C171A">
        <w:t xml:space="preserve">in the pipeline, and </w:t>
      </w:r>
      <w:r w:rsidR="002B083A">
        <w:t xml:space="preserve">other </w:t>
      </w:r>
      <w:r w:rsidR="002C171A">
        <w:t xml:space="preserve">projects being completed. </w:t>
      </w:r>
      <w:r w:rsidR="00E81045">
        <w:t xml:space="preserve">As we approach </w:t>
      </w:r>
      <w:r w:rsidR="00414E9A">
        <w:t xml:space="preserve">and exceed </w:t>
      </w:r>
      <w:r w:rsidR="00E81045">
        <w:t>pre</w:t>
      </w:r>
      <w:r w:rsidR="0039522C">
        <w:t>–</w:t>
      </w:r>
      <w:r w:rsidR="00E81045">
        <w:t xml:space="preserve">pandemic </w:t>
      </w:r>
      <w:r w:rsidR="00D651F8">
        <w:t xml:space="preserve">tourism </w:t>
      </w:r>
      <w:r w:rsidR="00EA5705">
        <w:t>levels</w:t>
      </w:r>
      <w:r w:rsidR="00D651F8">
        <w:t xml:space="preserve">, capacity of the accommodation sector will need to be ready to meet the needs of international and domestic travel. </w:t>
      </w:r>
    </w:p>
    <w:p w14:paraId="548C63D8" w14:textId="0846EFFC" w:rsidR="003E25F4" w:rsidRPr="0065612B" w:rsidRDefault="008B7600" w:rsidP="004826CC">
      <w:r>
        <w:t xml:space="preserve">As projects are being completed, we see a more consistent pipeline that is not suffering from </w:t>
      </w:r>
      <w:r w:rsidR="008A26C0" w:rsidRPr="003E25F4">
        <w:t xml:space="preserve">supply chain issues, economic factors and the travel restrictions </w:t>
      </w:r>
      <w:r w:rsidR="00052B60">
        <w:t>seen in recent years. A</w:t>
      </w:r>
      <w:r w:rsidR="00EE5C60">
        <w:t xml:space="preserve">s </w:t>
      </w:r>
      <w:r w:rsidR="00052B60">
        <w:t xml:space="preserve">these pressures ease </w:t>
      </w:r>
      <w:r w:rsidR="00C0028D">
        <w:t>and there are projects continuing to commence planning and construction stages</w:t>
      </w:r>
      <w:r w:rsidR="004826CC" w:rsidRPr="0065612B">
        <w:t>.</w:t>
      </w:r>
      <w:bookmarkStart w:id="142" w:name="_Hlk97562088"/>
    </w:p>
    <w:p w14:paraId="1114E53E" w14:textId="549E0257" w:rsidR="00EB790B" w:rsidRPr="00B3455B" w:rsidRDefault="00EB790B" w:rsidP="00EB790B">
      <w:r w:rsidRPr="0065612B">
        <w:t xml:space="preserve">In </w:t>
      </w:r>
      <w:r w:rsidR="007E3F7A" w:rsidRPr="0065612B">
        <w:t>2023</w:t>
      </w:r>
      <w:r w:rsidR="0039522C">
        <w:t>–</w:t>
      </w:r>
      <w:r w:rsidR="007E3F7A" w:rsidRPr="0065612B">
        <w:t>24</w:t>
      </w:r>
      <w:r w:rsidRPr="0065612B">
        <w:t xml:space="preserve">, there were </w:t>
      </w:r>
      <w:r w:rsidR="002E264E" w:rsidRPr="002E264E">
        <w:t>1</w:t>
      </w:r>
      <w:r w:rsidR="004826CC" w:rsidRPr="0065612B">
        <w:t>6</w:t>
      </w:r>
      <w:r w:rsidR="0074542D">
        <w:t>4</w:t>
      </w:r>
      <w:r w:rsidRPr="0065612B">
        <w:t xml:space="preserve"> standalone accommodation projects in the pipeline valued at $</w:t>
      </w:r>
      <w:r w:rsidR="004826CC" w:rsidRPr="0065612B">
        <w:t>11.</w:t>
      </w:r>
      <w:r w:rsidR="0074542D">
        <w:t>4</w:t>
      </w:r>
      <w:r w:rsidRPr="0065612B">
        <w:t> billion</w:t>
      </w:r>
      <w:r w:rsidR="003B40C5" w:rsidRPr="0065612B">
        <w:t xml:space="preserve"> </w:t>
      </w:r>
      <w:r w:rsidRPr="0065612B">
        <w:t xml:space="preserve">(Figure 7) with the potential to add </w:t>
      </w:r>
      <w:r w:rsidR="00B75839">
        <w:t>23,700</w:t>
      </w:r>
      <w:r w:rsidRPr="0065612B">
        <w:t xml:space="preserve"> rooms into Australia’s accommodation supply. This was a</w:t>
      </w:r>
      <w:r w:rsidR="00710AC1">
        <w:t>n</w:t>
      </w:r>
      <w:r w:rsidRPr="0065612B">
        <w:t xml:space="preserve"> increase in the number of projects in the pipeline</w:t>
      </w:r>
      <w:r w:rsidR="00E501A9">
        <w:t>, while the value</w:t>
      </w:r>
      <w:r w:rsidRPr="0065612B">
        <w:t xml:space="preserve"> and room</w:t>
      </w:r>
      <w:r w:rsidR="009165E0">
        <w:t xml:space="preserve"> count </w:t>
      </w:r>
      <w:r w:rsidR="000447C2">
        <w:t>were</w:t>
      </w:r>
      <w:r w:rsidR="009165E0">
        <w:t xml:space="preserve"> </w:t>
      </w:r>
      <w:r w:rsidR="00A80040">
        <w:t xml:space="preserve">lower </w:t>
      </w:r>
      <w:r w:rsidRPr="0065612B">
        <w:t xml:space="preserve">compared with the previous year. </w:t>
      </w:r>
      <w:bookmarkStart w:id="143" w:name="_Toc95805114"/>
      <w:bookmarkStart w:id="144" w:name="_Toc95899274"/>
      <w:bookmarkStart w:id="145" w:name="_Toc95899356"/>
      <w:bookmarkStart w:id="146" w:name="_Toc126933049"/>
      <w:bookmarkStart w:id="147" w:name="_Toc126933933"/>
      <w:bookmarkStart w:id="148" w:name="_Toc1266548931"/>
      <w:bookmarkEnd w:id="142"/>
    </w:p>
    <w:p w14:paraId="69AB2E9F" w14:textId="77777777" w:rsidR="00EB790B" w:rsidRPr="00F33C95" w:rsidRDefault="00EB790B" w:rsidP="00EB790B">
      <w:pPr>
        <w:pStyle w:val="Heading3"/>
      </w:pPr>
      <w:bookmarkStart w:id="149" w:name="_Toc188024241"/>
      <w:bookmarkStart w:id="150" w:name="_Toc189145275"/>
      <w:bookmarkStart w:id="151" w:name="_Toc190084776"/>
      <w:r w:rsidRPr="00F33C95">
        <w:t>Breakdown by project phase</w:t>
      </w:r>
      <w:bookmarkEnd w:id="143"/>
      <w:bookmarkEnd w:id="144"/>
      <w:bookmarkEnd w:id="145"/>
      <w:bookmarkEnd w:id="146"/>
      <w:bookmarkEnd w:id="147"/>
      <w:bookmarkEnd w:id="148"/>
      <w:bookmarkEnd w:id="149"/>
      <w:bookmarkEnd w:id="150"/>
      <w:bookmarkEnd w:id="151"/>
    </w:p>
    <w:p w14:paraId="67288551" w14:textId="77777777" w:rsidR="00EB790B" w:rsidRPr="00F33C95" w:rsidRDefault="00EB790B" w:rsidP="00EB790B">
      <w:pPr>
        <w:pStyle w:val="Heading5"/>
      </w:pPr>
      <w:r w:rsidRPr="00F33C95">
        <w:t>New projects</w:t>
      </w:r>
    </w:p>
    <w:p w14:paraId="188F626C" w14:textId="71EB6537" w:rsidR="00EB790B" w:rsidRPr="00F33C95" w:rsidRDefault="00EB790B" w:rsidP="00EB790B">
      <w:r w:rsidRPr="00F33C95">
        <w:t xml:space="preserve">There were </w:t>
      </w:r>
      <w:r w:rsidR="00D3678F" w:rsidRPr="00F33C95">
        <w:t>5</w:t>
      </w:r>
      <w:r w:rsidR="00CD79E9">
        <w:t>0</w:t>
      </w:r>
      <w:r w:rsidRPr="00F33C95">
        <w:t xml:space="preserve"> new accommodation projects added to the </w:t>
      </w:r>
      <w:r w:rsidR="007E3F7A" w:rsidRPr="00F33C95">
        <w:t>2023</w:t>
      </w:r>
      <w:r w:rsidR="0039522C">
        <w:t>–</w:t>
      </w:r>
      <w:r w:rsidR="007E3F7A" w:rsidRPr="00F33C95">
        <w:t>24</w:t>
      </w:r>
      <w:r w:rsidRPr="00F33C95">
        <w:t xml:space="preserve"> pipeline.  The new projects combined were valued at </w:t>
      </w:r>
      <w:r w:rsidR="00CE7040" w:rsidRPr="00F33C95">
        <w:t>$1.</w:t>
      </w:r>
      <w:r w:rsidR="00CD79E9">
        <w:t>8</w:t>
      </w:r>
      <w:r w:rsidRPr="00F33C95">
        <w:t xml:space="preserve"> billion</w:t>
      </w:r>
      <w:r w:rsidR="000D6F8A">
        <w:t>,</w:t>
      </w:r>
      <w:r w:rsidR="000447C2" w:rsidRPr="00F33C95" w:rsidDel="000447C2">
        <w:rPr>
          <w:rStyle w:val="FootnoteReference"/>
        </w:rPr>
        <w:t xml:space="preserve"> </w:t>
      </w:r>
      <w:r w:rsidRPr="00F33C95">
        <w:t xml:space="preserve"> with the potential to add </w:t>
      </w:r>
      <w:r w:rsidR="00CE7040" w:rsidRPr="00F33C95">
        <w:t>5</w:t>
      </w:r>
      <w:r w:rsidR="0018718B" w:rsidRPr="00F33C95">
        <w:t>,</w:t>
      </w:r>
      <w:r w:rsidR="00941C2D">
        <w:t>6</w:t>
      </w:r>
      <w:r w:rsidRPr="00F33C95">
        <w:t>00 rooms</w:t>
      </w:r>
      <w:r w:rsidR="000D6F8A">
        <w:t>.</w:t>
      </w:r>
      <w:r w:rsidRPr="00F33C95">
        <w:t xml:space="preserve"> Of the new projects, 3</w:t>
      </w:r>
      <w:r w:rsidR="00941C2D">
        <w:t>0</w:t>
      </w:r>
      <w:r w:rsidRPr="00F33C95">
        <w:t xml:space="preserve"> were in capital cities (worth $1.</w:t>
      </w:r>
      <w:r w:rsidR="0018718B" w:rsidRPr="00F33C95">
        <w:t>2</w:t>
      </w:r>
      <w:r w:rsidRPr="00F33C95">
        <w:t xml:space="preserve"> billion</w:t>
      </w:r>
      <w:r w:rsidR="00874EFA">
        <w:t xml:space="preserve"> and </w:t>
      </w:r>
      <w:r w:rsidR="002B1687">
        <w:t>3,500 rooms</w:t>
      </w:r>
      <w:r w:rsidRPr="00F33C95">
        <w:t>), and</w:t>
      </w:r>
      <w:r w:rsidRPr="00F33C95" w:rsidDel="00C82C11">
        <w:t xml:space="preserve"> </w:t>
      </w:r>
      <w:r w:rsidR="00B345C7" w:rsidRPr="00F33C95">
        <w:t>2</w:t>
      </w:r>
      <w:r w:rsidR="003C62B6" w:rsidRPr="00F33C95">
        <w:t>0</w:t>
      </w:r>
      <w:r w:rsidRPr="00F33C95">
        <w:t xml:space="preserve"> were in regional Australia (worth $0.</w:t>
      </w:r>
      <w:r w:rsidR="00AD2F11" w:rsidRPr="00F33C95">
        <w:t>6</w:t>
      </w:r>
      <w:r w:rsidRPr="00F33C95">
        <w:t xml:space="preserve"> billion</w:t>
      </w:r>
      <w:r w:rsidR="00D909FC">
        <w:t xml:space="preserve"> and 2,000 rooms</w:t>
      </w:r>
      <w:r w:rsidRPr="00F33C95">
        <w:t xml:space="preserve">). </w:t>
      </w:r>
    </w:p>
    <w:p w14:paraId="4FBF9596" w14:textId="77777777" w:rsidR="00EB790B" w:rsidRPr="00F33C95" w:rsidRDefault="00EB790B" w:rsidP="00EB790B">
      <w:pPr>
        <w:pStyle w:val="Heading5"/>
        <w:spacing w:before="120"/>
      </w:pPr>
      <w:r w:rsidRPr="00F33C95">
        <w:t>Under construction</w:t>
      </w:r>
    </w:p>
    <w:p w14:paraId="03DA78DB" w14:textId="2EC496DC" w:rsidR="00EB790B" w:rsidRPr="00F33C95" w:rsidRDefault="00EB790B" w:rsidP="00EB790B">
      <w:r w:rsidRPr="00F33C95">
        <w:t>There were 5</w:t>
      </w:r>
      <w:r w:rsidR="00D77DD4">
        <w:t>3</w:t>
      </w:r>
      <w:r w:rsidRPr="00F33C95">
        <w:t xml:space="preserve"> projects under construction in </w:t>
      </w:r>
      <w:r w:rsidR="007E3F7A" w:rsidRPr="00F33C95">
        <w:t>2023</w:t>
      </w:r>
      <w:r w:rsidR="0039522C">
        <w:t>–</w:t>
      </w:r>
      <w:r w:rsidR="007E3F7A" w:rsidRPr="00F33C95">
        <w:t>24</w:t>
      </w:r>
      <w:r w:rsidRPr="00F33C95">
        <w:t>. These were valued at $3.</w:t>
      </w:r>
      <w:r w:rsidR="00D77DD4">
        <w:t>2</w:t>
      </w:r>
      <w:r w:rsidR="000A3D1F" w:rsidRPr="00F33C95">
        <w:t xml:space="preserve"> </w:t>
      </w:r>
      <w:r w:rsidRPr="00F33C95">
        <w:t xml:space="preserve">billion, with the potential to add </w:t>
      </w:r>
      <w:r w:rsidR="000A3D1F" w:rsidRPr="00F33C95">
        <w:t>7,</w:t>
      </w:r>
      <w:r w:rsidR="00BC7458">
        <w:t>1</w:t>
      </w:r>
      <w:r w:rsidR="000A3D1F" w:rsidRPr="00F33C95">
        <w:t xml:space="preserve">00 </w:t>
      </w:r>
      <w:r w:rsidRPr="00F33C95">
        <w:t>rooms.</w:t>
      </w:r>
    </w:p>
    <w:p w14:paraId="6F5B2978" w14:textId="77777777" w:rsidR="00EB790B" w:rsidRPr="00F33C95" w:rsidRDefault="00EB790B" w:rsidP="00EB790B">
      <w:pPr>
        <w:pStyle w:val="Heading5"/>
      </w:pPr>
      <w:r w:rsidRPr="00F33C95">
        <w:lastRenderedPageBreak/>
        <w:t>Planning</w:t>
      </w:r>
    </w:p>
    <w:p w14:paraId="1752DE7A" w14:textId="0C57443D" w:rsidR="00EB790B" w:rsidRPr="00F33C95" w:rsidRDefault="00EB790B" w:rsidP="00EB790B">
      <w:r w:rsidRPr="00F33C95">
        <w:t xml:space="preserve">Most standalone accommodation projects in the </w:t>
      </w:r>
      <w:r w:rsidR="007E3F7A" w:rsidRPr="00F33C95">
        <w:t>2023</w:t>
      </w:r>
      <w:r w:rsidR="0039522C">
        <w:t>–</w:t>
      </w:r>
      <w:r w:rsidR="007E3F7A" w:rsidRPr="00F33C95">
        <w:t>24</w:t>
      </w:r>
      <w:r w:rsidRPr="00F33C95">
        <w:t xml:space="preserve"> pipeline were in the planning phase. There was a total of </w:t>
      </w:r>
      <w:r w:rsidR="002E264E" w:rsidRPr="002E264E">
        <w:t>1</w:t>
      </w:r>
      <w:r w:rsidR="009D5B57" w:rsidRPr="00F33C95">
        <w:t>0</w:t>
      </w:r>
      <w:r w:rsidR="00D80B70">
        <w:t>0</w:t>
      </w:r>
      <w:r w:rsidRPr="00F33C95">
        <w:t xml:space="preserve"> projects in this phase, valued at $</w:t>
      </w:r>
      <w:r w:rsidR="009D5B57" w:rsidRPr="00F33C95">
        <w:t>7.</w:t>
      </w:r>
      <w:r w:rsidR="00D80B70">
        <w:t>1</w:t>
      </w:r>
      <w:r w:rsidRPr="00F33C95">
        <w:t xml:space="preserve"> billion, with the potential to add 1</w:t>
      </w:r>
      <w:r w:rsidR="00691A01" w:rsidRPr="00F33C95">
        <w:t>5</w:t>
      </w:r>
      <w:r w:rsidRPr="00F33C95">
        <w:t>,</w:t>
      </w:r>
      <w:r w:rsidR="00D80B70">
        <w:t>0</w:t>
      </w:r>
      <w:r w:rsidRPr="00F33C95">
        <w:t xml:space="preserve">00 rooms. </w:t>
      </w:r>
    </w:p>
    <w:p w14:paraId="612DA7CA" w14:textId="77777777" w:rsidR="00EB790B" w:rsidRPr="00AF34A1" w:rsidRDefault="00EB790B" w:rsidP="00EB790B">
      <w:pPr>
        <w:pStyle w:val="Heading5"/>
        <w:spacing w:before="120"/>
      </w:pPr>
      <w:r w:rsidRPr="00AF34A1">
        <w:t>Proposed</w:t>
      </w:r>
    </w:p>
    <w:p w14:paraId="64C338EB" w14:textId="4093B85E" w:rsidR="00B3455B" w:rsidRPr="00911DF7" w:rsidRDefault="00EB790B">
      <w:r w:rsidRPr="00AF34A1">
        <w:t xml:space="preserve">There were </w:t>
      </w:r>
      <w:r w:rsidR="000C6517" w:rsidRPr="00AF34A1">
        <w:t>1</w:t>
      </w:r>
      <w:r w:rsidR="00F33C95" w:rsidRPr="00AF34A1">
        <w:t>1</w:t>
      </w:r>
      <w:r w:rsidRPr="00AF34A1">
        <w:t xml:space="preserve"> proposed accommodation projects in </w:t>
      </w:r>
      <w:r w:rsidR="007E3F7A" w:rsidRPr="00AF34A1">
        <w:t>2023</w:t>
      </w:r>
      <w:r w:rsidR="0039522C">
        <w:t>–</w:t>
      </w:r>
      <w:r w:rsidR="007E3F7A" w:rsidRPr="00AF34A1">
        <w:t>24</w:t>
      </w:r>
      <w:r w:rsidRPr="00AF34A1">
        <w:t>, valued at $</w:t>
      </w:r>
      <w:r w:rsidR="000C6517" w:rsidRPr="00AF34A1">
        <w:t>1.</w:t>
      </w:r>
      <w:r w:rsidR="001F542E" w:rsidRPr="00AF34A1">
        <w:t>1</w:t>
      </w:r>
      <w:r w:rsidRPr="00AF34A1">
        <w:t xml:space="preserve"> billion, with the potential to add </w:t>
      </w:r>
      <w:r w:rsidR="000C6517" w:rsidRPr="00AF34A1">
        <w:t>1</w:t>
      </w:r>
      <w:r w:rsidRPr="00AF34A1">
        <w:t>,</w:t>
      </w:r>
      <w:r w:rsidR="00E22C59" w:rsidRPr="00AF34A1">
        <w:t>5</w:t>
      </w:r>
      <w:r w:rsidRPr="00AF34A1">
        <w:t>00 rooms.</w:t>
      </w:r>
    </w:p>
    <w:p w14:paraId="7C51494C" w14:textId="4CCCB832" w:rsidR="00EB790B" w:rsidRPr="00AF34A1" w:rsidRDefault="00EB790B" w:rsidP="00EB790B">
      <w:pPr>
        <w:spacing w:line="300" w:lineRule="atLeast"/>
        <w:rPr>
          <w:color w:val="2E1A47" w:themeColor="text2"/>
        </w:rPr>
      </w:pPr>
      <w:r w:rsidRPr="00DE17D8">
        <w:rPr>
          <w:b/>
          <w:color w:val="2E1A47" w:themeColor="text2"/>
        </w:rPr>
        <w:t>Figure 7:</w:t>
      </w:r>
      <w:r w:rsidRPr="00DE17D8">
        <w:rPr>
          <w:color w:val="2E1A47" w:themeColor="text2"/>
        </w:rPr>
        <w:t xml:space="preserve"> Standalone accommodation pipeline by project phase, </w:t>
      </w:r>
      <w:r w:rsidR="007E3F7A" w:rsidRPr="00DE17D8">
        <w:rPr>
          <w:color w:val="2E1A47" w:themeColor="text2"/>
        </w:rPr>
        <w:t>2023</w:t>
      </w:r>
      <w:r w:rsidR="0039522C">
        <w:rPr>
          <w:color w:val="2E1A47" w:themeColor="text2"/>
        </w:rPr>
        <w:t>–</w:t>
      </w:r>
      <w:r w:rsidR="007E3F7A" w:rsidRPr="00DE17D8">
        <w:rPr>
          <w:color w:val="2E1A47" w:themeColor="text2"/>
        </w:rPr>
        <w:t>24</w:t>
      </w:r>
      <w:r w:rsidRPr="00DE17D8">
        <w:rPr>
          <w:color w:val="2E1A47" w:themeColor="text2"/>
        </w:rPr>
        <w:t>.</w:t>
      </w:r>
      <w:r w:rsidRPr="00AF34A1">
        <w:rPr>
          <w:color w:val="2E1A47" w:themeColor="text2"/>
        </w:rPr>
        <w:t xml:space="preserve"> </w:t>
      </w:r>
    </w:p>
    <w:p w14:paraId="5575D4CE" w14:textId="41A1652D" w:rsidR="00EB790B" w:rsidRPr="00CD1584" w:rsidRDefault="00DE17D8" w:rsidP="00EB790B">
      <w:pPr>
        <w:spacing w:line="300" w:lineRule="atLeast"/>
        <w:rPr>
          <w:sz w:val="22"/>
          <w:szCs w:val="22"/>
          <w:highlight w:val="yellow"/>
        </w:rPr>
      </w:pPr>
      <w:r>
        <w:rPr>
          <w:noProof/>
        </w:rPr>
        <w:drawing>
          <wp:inline distT="0" distB="0" distL="0" distR="0" wp14:anchorId="25BCD25A" wp14:editId="5CEC262F">
            <wp:extent cx="6329680" cy="2247900"/>
            <wp:effectExtent l="0" t="0" r="13970" b="0"/>
            <wp:docPr id="2087277067" name="Chart 1" descr="Figure 7 shows the value of the standalone accommodation pipeline by project phase for 2023-24. It also shows the breakdown of projects by location in the capital or regional areas. The majority of projects are in the planning phase. The majority of projects are in capital cities. &#10;">
              <a:extLst xmlns:a="http://schemas.openxmlformats.org/drawingml/2006/main">
                <a:ext uri="{FF2B5EF4-FFF2-40B4-BE49-F238E27FC236}">
                  <a16:creationId xmlns:a16="http://schemas.microsoft.com/office/drawing/2014/main" id="{B8633DBF-A070-4997-9818-C5067572DC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71C7C4" w14:textId="77777777" w:rsidR="00EB790B" w:rsidRPr="00C35C3F" w:rsidRDefault="00EB790B" w:rsidP="00EB790B">
      <w:pPr>
        <w:pStyle w:val="Heading5"/>
      </w:pPr>
      <w:bookmarkStart w:id="152" w:name="_Toc95805115"/>
      <w:bookmarkStart w:id="153" w:name="_Toc95899275"/>
      <w:bookmarkStart w:id="154" w:name="_Toc95899357"/>
      <w:bookmarkStart w:id="155" w:name="_Toc126933050"/>
      <w:bookmarkStart w:id="156" w:name="_Toc126933934"/>
      <w:bookmarkStart w:id="157" w:name="_Toc1737774810"/>
      <w:r w:rsidRPr="00C35C3F">
        <w:t>Completed</w:t>
      </w:r>
    </w:p>
    <w:p w14:paraId="166BD053" w14:textId="7908862B" w:rsidR="00C1588B" w:rsidRDefault="00EB790B" w:rsidP="00EB790B">
      <w:bookmarkStart w:id="158" w:name="_Hlk126746863"/>
      <w:r w:rsidRPr="00C35C3F">
        <w:t xml:space="preserve">There were </w:t>
      </w:r>
      <w:r w:rsidR="006516BE" w:rsidRPr="00C35C3F">
        <w:t>17</w:t>
      </w:r>
      <w:r w:rsidRPr="00C35C3F">
        <w:t xml:space="preserve"> accommodation projects completed in </w:t>
      </w:r>
      <w:r w:rsidR="007E3F7A" w:rsidRPr="00C35C3F">
        <w:t>2023</w:t>
      </w:r>
      <w:r w:rsidR="0039522C">
        <w:t>–</w:t>
      </w:r>
      <w:r w:rsidR="007E3F7A" w:rsidRPr="00C35C3F">
        <w:t>24</w:t>
      </w:r>
      <w:r w:rsidRPr="00C35C3F">
        <w:t xml:space="preserve">, adding </w:t>
      </w:r>
      <w:r w:rsidR="00E4712A" w:rsidRPr="00C35C3F">
        <w:t>2</w:t>
      </w:r>
      <w:r w:rsidRPr="00C35C3F">
        <w:t>,</w:t>
      </w:r>
      <w:r w:rsidR="00E4712A" w:rsidRPr="00C35C3F">
        <w:t>3</w:t>
      </w:r>
      <w:r w:rsidRPr="00C35C3F">
        <w:t xml:space="preserve">00 rooms to tourism accommodation supply. </w:t>
      </w:r>
      <w:r w:rsidR="00C1588B">
        <w:t xml:space="preserve">New South Wales </w:t>
      </w:r>
      <w:r w:rsidR="0069678B">
        <w:t>had the most completed projects in 2023</w:t>
      </w:r>
      <w:r w:rsidR="0039522C">
        <w:t>–</w:t>
      </w:r>
      <w:r w:rsidR="0069678B">
        <w:t>24 (6 projects</w:t>
      </w:r>
      <w:r w:rsidR="00411418">
        <w:t>)</w:t>
      </w:r>
      <w:r w:rsidR="0069678B">
        <w:t>.</w:t>
      </w:r>
    </w:p>
    <w:p w14:paraId="6E8270FC" w14:textId="77777777" w:rsidR="00EB790B" w:rsidRPr="001755E9" w:rsidRDefault="00EB790B" w:rsidP="001D014A">
      <w:pPr>
        <w:pStyle w:val="Heading3"/>
        <w:spacing w:before="360" w:line="300" w:lineRule="atLeast"/>
      </w:pPr>
      <w:bookmarkStart w:id="159" w:name="_Toc188024242"/>
      <w:bookmarkStart w:id="160" w:name="_Toc189145276"/>
      <w:bookmarkStart w:id="161" w:name="_Toc190084777"/>
      <w:bookmarkEnd w:id="158"/>
      <w:r w:rsidRPr="001755E9">
        <w:t>Breakdown by project location</w:t>
      </w:r>
      <w:bookmarkEnd w:id="152"/>
      <w:bookmarkEnd w:id="153"/>
      <w:bookmarkEnd w:id="154"/>
      <w:bookmarkEnd w:id="155"/>
      <w:bookmarkEnd w:id="156"/>
      <w:bookmarkEnd w:id="157"/>
      <w:bookmarkEnd w:id="159"/>
      <w:bookmarkEnd w:id="160"/>
      <w:bookmarkEnd w:id="161"/>
    </w:p>
    <w:p w14:paraId="1D35758D" w14:textId="52ACB0F2" w:rsidR="00EB790B" w:rsidRPr="001755E9" w:rsidRDefault="00911C2C" w:rsidP="00EB790B">
      <w:r w:rsidRPr="001755E9">
        <w:t xml:space="preserve">Similar to other categories, most </w:t>
      </w:r>
      <w:r w:rsidR="00EB790B" w:rsidRPr="001755E9">
        <w:t xml:space="preserve">projects </w:t>
      </w:r>
      <w:r w:rsidR="00DD52FB" w:rsidRPr="001755E9">
        <w:t>are</w:t>
      </w:r>
      <w:r w:rsidR="00EB790B" w:rsidRPr="001755E9">
        <w:t xml:space="preserve"> in capital cities (including the Gold Coast) in </w:t>
      </w:r>
      <w:r w:rsidR="007E3F7A" w:rsidRPr="001755E9">
        <w:t>2023</w:t>
      </w:r>
      <w:r w:rsidR="00560E18">
        <w:noBreakHyphen/>
      </w:r>
      <w:r w:rsidR="007E3F7A" w:rsidRPr="001755E9">
        <w:t>24</w:t>
      </w:r>
      <w:r w:rsidR="00C75F6F">
        <w:t>,</w:t>
      </w:r>
      <w:r w:rsidR="00EB790B" w:rsidRPr="001755E9">
        <w:t xml:space="preserve"> account</w:t>
      </w:r>
      <w:r w:rsidR="00C75F6F">
        <w:t>ing</w:t>
      </w:r>
      <w:r w:rsidR="00EB790B" w:rsidRPr="001755E9">
        <w:t xml:space="preserve"> for </w:t>
      </w:r>
      <w:r w:rsidR="002E264E" w:rsidRPr="002E264E">
        <w:t>1</w:t>
      </w:r>
      <w:r w:rsidR="006B15D6" w:rsidRPr="001755E9">
        <w:t>0</w:t>
      </w:r>
      <w:r w:rsidR="00B31AD8">
        <w:t>2</w:t>
      </w:r>
      <w:r w:rsidR="00EB790B" w:rsidRPr="001755E9">
        <w:t xml:space="preserve"> projects with a total value of $</w:t>
      </w:r>
      <w:r w:rsidR="00022E73" w:rsidRPr="001755E9">
        <w:t>8.</w:t>
      </w:r>
      <w:r w:rsidR="00B31AD8">
        <w:t>0</w:t>
      </w:r>
      <w:r w:rsidR="006B15D6" w:rsidRPr="001755E9">
        <w:t xml:space="preserve"> </w:t>
      </w:r>
      <w:r w:rsidR="00EB790B" w:rsidRPr="001755E9">
        <w:t>billion. The highest value investments were in:</w:t>
      </w:r>
    </w:p>
    <w:p w14:paraId="26EB5B65" w14:textId="54056DD6" w:rsidR="00EB790B" w:rsidRPr="00F70E8F" w:rsidRDefault="00EB790B" w:rsidP="00A9784D">
      <w:pPr>
        <w:pStyle w:val="BulletList"/>
      </w:pPr>
      <w:r w:rsidRPr="0054683B">
        <w:t xml:space="preserve">Sydney – </w:t>
      </w:r>
      <w:r w:rsidR="000A2E11" w:rsidRPr="0054683B">
        <w:t>3</w:t>
      </w:r>
      <w:r w:rsidR="0054683B" w:rsidRPr="0054683B">
        <w:t>4</w:t>
      </w:r>
      <w:r w:rsidR="000A2E11" w:rsidRPr="0054683B">
        <w:t xml:space="preserve"> projects worth </w:t>
      </w:r>
      <w:r w:rsidRPr="0054683B">
        <w:t>$2.</w:t>
      </w:r>
      <w:r w:rsidR="0054683B" w:rsidRPr="0054683B">
        <w:t>6</w:t>
      </w:r>
      <w:r w:rsidRPr="0054683B">
        <w:t xml:space="preserve"> </w:t>
      </w:r>
      <w:r w:rsidRPr="00F70E8F">
        <w:t xml:space="preserve">billion </w:t>
      </w:r>
    </w:p>
    <w:p w14:paraId="2BF2F025" w14:textId="5A9667DC" w:rsidR="00BE7A08" w:rsidRPr="00A43709" w:rsidRDefault="00BE7A08" w:rsidP="00A9784D">
      <w:pPr>
        <w:pStyle w:val="BulletList"/>
      </w:pPr>
      <w:r w:rsidRPr="00F70E8F">
        <w:t>Brisbane (including the Gold Coast) – 1</w:t>
      </w:r>
      <w:r w:rsidR="00A43709" w:rsidRPr="00F70E8F">
        <w:t>8</w:t>
      </w:r>
      <w:r w:rsidRPr="00A43709">
        <w:t xml:space="preserve"> projects worth $1.2 billion </w:t>
      </w:r>
    </w:p>
    <w:p w14:paraId="0F29D92E" w14:textId="77777777" w:rsidR="00B31AD8" w:rsidRPr="00F70E8F" w:rsidRDefault="00B31AD8" w:rsidP="00B31AD8">
      <w:pPr>
        <w:pStyle w:val="BulletList"/>
      </w:pPr>
      <w:r w:rsidRPr="00F70E8F">
        <w:t xml:space="preserve">Adelaide – </w:t>
      </w:r>
      <w:r w:rsidRPr="002E264E">
        <w:t>1</w:t>
      </w:r>
      <w:r>
        <w:t>6</w:t>
      </w:r>
      <w:r w:rsidRPr="00F70E8F">
        <w:t xml:space="preserve"> projects worth $</w:t>
      </w:r>
      <w:r w:rsidRPr="002E264E">
        <w:t>1</w:t>
      </w:r>
      <w:r w:rsidRPr="00F70E8F">
        <w:t>.</w:t>
      </w:r>
      <w:r>
        <w:t>2</w:t>
      </w:r>
      <w:r w:rsidRPr="00F70E8F">
        <w:t xml:space="preserve"> billion </w:t>
      </w:r>
    </w:p>
    <w:p w14:paraId="2E1DFBDF" w14:textId="075A55E1" w:rsidR="00EB790B" w:rsidRPr="00020C04" w:rsidRDefault="00EB790B" w:rsidP="00A9784D">
      <w:pPr>
        <w:pStyle w:val="BulletList"/>
      </w:pPr>
      <w:r w:rsidRPr="00020C04">
        <w:t xml:space="preserve">Melbourne – </w:t>
      </w:r>
      <w:r w:rsidR="000A2E11" w:rsidRPr="00020C04">
        <w:t xml:space="preserve">15 projects worth </w:t>
      </w:r>
      <w:r w:rsidRPr="00020C04">
        <w:t>$1.</w:t>
      </w:r>
      <w:r w:rsidR="00DF66BD" w:rsidRPr="00020C04">
        <w:t>5</w:t>
      </w:r>
      <w:r w:rsidRPr="00020C04">
        <w:t xml:space="preserve"> billion </w:t>
      </w:r>
    </w:p>
    <w:p w14:paraId="65903AE0" w14:textId="40F65680" w:rsidR="00EB790B" w:rsidRPr="00107A8E" w:rsidRDefault="00EB790B" w:rsidP="00A9784D">
      <w:pPr>
        <w:pStyle w:val="BulletList"/>
      </w:pPr>
      <w:r w:rsidRPr="00107A8E">
        <w:t xml:space="preserve">Perth – </w:t>
      </w:r>
      <w:r w:rsidR="000A2E11" w:rsidRPr="00107A8E">
        <w:t xml:space="preserve">9 projects worth </w:t>
      </w:r>
      <w:r w:rsidRPr="00107A8E">
        <w:t>$0.</w:t>
      </w:r>
      <w:r w:rsidR="00771A05" w:rsidRPr="00107A8E">
        <w:t>5</w:t>
      </w:r>
      <w:r w:rsidRPr="00107A8E">
        <w:t xml:space="preserve"> billion </w:t>
      </w:r>
    </w:p>
    <w:p w14:paraId="692F9CAF" w14:textId="43F7B9BD" w:rsidR="00EB790B" w:rsidRPr="000A365D" w:rsidRDefault="00EB790B" w:rsidP="00A9784D">
      <w:pPr>
        <w:pStyle w:val="BulletList"/>
      </w:pPr>
      <w:r w:rsidRPr="000A365D">
        <w:t xml:space="preserve">Hobart – </w:t>
      </w:r>
      <w:r w:rsidR="000A2E11" w:rsidRPr="000A365D">
        <w:t xml:space="preserve">6 projects worth </w:t>
      </w:r>
      <w:r w:rsidRPr="000A365D">
        <w:t>$</w:t>
      </w:r>
      <w:r w:rsidR="00F155AD" w:rsidRPr="000A365D">
        <w:t>0.4</w:t>
      </w:r>
      <w:r w:rsidRPr="000A365D">
        <w:t xml:space="preserve"> billion </w:t>
      </w:r>
    </w:p>
    <w:p w14:paraId="629AC255" w14:textId="0E23187E" w:rsidR="00EB790B" w:rsidRPr="000A365D" w:rsidRDefault="00EB790B" w:rsidP="00A9784D">
      <w:pPr>
        <w:pStyle w:val="BulletList"/>
      </w:pPr>
      <w:r w:rsidRPr="000A365D">
        <w:t xml:space="preserve">Darwin – </w:t>
      </w:r>
      <w:r w:rsidR="00B31AD8">
        <w:t>2</w:t>
      </w:r>
      <w:r w:rsidR="000A2E11" w:rsidRPr="000A365D">
        <w:t xml:space="preserve"> projects worth </w:t>
      </w:r>
      <w:r w:rsidRPr="000A365D">
        <w:t xml:space="preserve">$0.3 billion </w:t>
      </w:r>
    </w:p>
    <w:p w14:paraId="661E3222" w14:textId="54C83813" w:rsidR="00EB790B" w:rsidRPr="003429B4" w:rsidRDefault="00EB790B" w:rsidP="00A9784D">
      <w:pPr>
        <w:pStyle w:val="BulletList"/>
      </w:pPr>
      <w:r w:rsidRPr="003429B4">
        <w:t xml:space="preserve">Canberra </w:t>
      </w:r>
      <w:r w:rsidR="0039522C">
        <w:t>–</w:t>
      </w:r>
      <w:r w:rsidRPr="003429B4">
        <w:t xml:space="preserve"> </w:t>
      </w:r>
      <w:r w:rsidR="000A2E11" w:rsidRPr="003429B4">
        <w:t xml:space="preserve">2 projects worth </w:t>
      </w:r>
      <w:r w:rsidRPr="003429B4">
        <w:t>$0.</w:t>
      </w:r>
      <w:r w:rsidR="00913612" w:rsidRPr="003429B4">
        <w:t>2</w:t>
      </w:r>
      <w:r w:rsidRPr="003429B4">
        <w:t xml:space="preserve"> billion.</w:t>
      </w:r>
    </w:p>
    <w:p w14:paraId="2F763AD6" w14:textId="1FFA4435" w:rsidR="00EB790B" w:rsidRPr="001755E9" w:rsidRDefault="00EB790B" w:rsidP="00EB790B">
      <w:pPr>
        <w:spacing w:before="120"/>
      </w:pPr>
      <w:r w:rsidRPr="001755E9">
        <w:t>By comparison, there were 6</w:t>
      </w:r>
      <w:r w:rsidR="001755E9" w:rsidRPr="001755E9">
        <w:t xml:space="preserve">2 </w:t>
      </w:r>
      <w:r w:rsidRPr="001755E9">
        <w:t>projects in regional locations valued at $3.</w:t>
      </w:r>
      <w:r w:rsidR="007E0D1A" w:rsidRPr="001755E9">
        <w:t>5</w:t>
      </w:r>
      <w:r w:rsidRPr="001755E9">
        <w:t xml:space="preserve"> billion, distributed between:</w:t>
      </w:r>
    </w:p>
    <w:p w14:paraId="65BC0094" w14:textId="7D11CFE1" w:rsidR="00EB790B" w:rsidRPr="00EC190A" w:rsidRDefault="00EB790B" w:rsidP="00A9784D">
      <w:pPr>
        <w:pStyle w:val="BulletList"/>
      </w:pPr>
      <w:r w:rsidRPr="00EC190A">
        <w:t xml:space="preserve">Victoria – </w:t>
      </w:r>
      <w:r w:rsidR="00A17C36" w:rsidRPr="00EC190A">
        <w:t xml:space="preserve">14 projects worth </w:t>
      </w:r>
      <w:r w:rsidRPr="00EC190A">
        <w:t>$1.</w:t>
      </w:r>
      <w:r w:rsidR="007C564E" w:rsidRPr="00EC190A">
        <w:t>0</w:t>
      </w:r>
      <w:r w:rsidRPr="00EC190A">
        <w:t xml:space="preserve"> billion </w:t>
      </w:r>
    </w:p>
    <w:p w14:paraId="786F09A0" w14:textId="7E9BA353" w:rsidR="00EB790B" w:rsidRPr="00A43709" w:rsidRDefault="00EB790B" w:rsidP="00A9784D">
      <w:pPr>
        <w:pStyle w:val="BulletList"/>
      </w:pPr>
      <w:r w:rsidRPr="00A43709">
        <w:t xml:space="preserve">Queensland – </w:t>
      </w:r>
      <w:r w:rsidR="00A17C36" w:rsidRPr="00A43709">
        <w:t>1</w:t>
      </w:r>
      <w:r w:rsidR="00836FEC" w:rsidRPr="00A43709">
        <w:t>3</w:t>
      </w:r>
      <w:r w:rsidR="00A17C36" w:rsidRPr="00A43709">
        <w:t xml:space="preserve"> projects worth </w:t>
      </w:r>
      <w:r w:rsidRPr="00A43709">
        <w:t>$</w:t>
      </w:r>
      <w:r w:rsidR="00836FEC" w:rsidRPr="00A43709">
        <w:t>1.0</w:t>
      </w:r>
      <w:r w:rsidRPr="00A43709">
        <w:t xml:space="preserve"> billion </w:t>
      </w:r>
    </w:p>
    <w:p w14:paraId="56D1337D" w14:textId="59655796" w:rsidR="00EB790B" w:rsidRPr="00F70E8F" w:rsidRDefault="00EB790B" w:rsidP="00A9784D">
      <w:pPr>
        <w:pStyle w:val="BulletList"/>
      </w:pPr>
      <w:r w:rsidRPr="00615F37">
        <w:t xml:space="preserve">New South Wales – </w:t>
      </w:r>
      <w:r w:rsidR="00A17C36" w:rsidRPr="00615F37">
        <w:t xml:space="preserve">11 projects </w:t>
      </w:r>
      <w:r w:rsidR="00A17C36" w:rsidRPr="00F70E8F">
        <w:t xml:space="preserve">worth </w:t>
      </w:r>
      <w:r w:rsidRPr="00F70E8F">
        <w:t>$0.</w:t>
      </w:r>
      <w:r w:rsidR="009C0733" w:rsidRPr="00F70E8F">
        <w:t>3</w:t>
      </w:r>
      <w:r w:rsidRPr="00F70E8F">
        <w:t xml:space="preserve"> billion </w:t>
      </w:r>
    </w:p>
    <w:p w14:paraId="71A62447" w14:textId="77777777" w:rsidR="00BE7A08" w:rsidRPr="00F70E8F" w:rsidRDefault="00BE7A08" w:rsidP="00A9784D">
      <w:pPr>
        <w:pStyle w:val="BulletList"/>
      </w:pPr>
      <w:r w:rsidRPr="00F70E8F">
        <w:t xml:space="preserve">South Australia – 9 projects worth $0.5 billion </w:t>
      </w:r>
    </w:p>
    <w:p w14:paraId="32B11FB2" w14:textId="624E7E03" w:rsidR="00EB790B" w:rsidRPr="00F70E8F" w:rsidRDefault="00EB790B" w:rsidP="00A9784D">
      <w:pPr>
        <w:pStyle w:val="BulletList"/>
      </w:pPr>
      <w:r w:rsidRPr="00F70E8F">
        <w:t xml:space="preserve">Tasmania – </w:t>
      </w:r>
      <w:r w:rsidR="00A17C36" w:rsidRPr="00F70E8F">
        <w:t xml:space="preserve">8 projects worth </w:t>
      </w:r>
      <w:r w:rsidRPr="00F70E8F">
        <w:t xml:space="preserve">$0.4 billion </w:t>
      </w:r>
    </w:p>
    <w:p w14:paraId="09260219" w14:textId="6011980C" w:rsidR="00EB790B" w:rsidRPr="00F70E8F" w:rsidRDefault="00EB790B" w:rsidP="00A9784D">
      <w:pPr>
        <w:pStyle w:val="BulletList"/>
      </w:pPr>
      <w:r w:rsidRPr="00F70E8F">
        <w:t xml:space="preserve">Western Australia – </w:t>
      </w:r>
      <w:r w:rsidR="003821A9" w:rsidRPr="00F70E8F">
        <w:t>6</w:t>
      </w:r>
      <w:r w:rsidR="00A17C36" w:rsidRPr="00F70E8F">
        <w:t xml:space="preserve"> projects worth </w:t>
      </w:r>
      <w:r w:rsidRPr="00F70E8F">
        <w:t>$0.</w:t>
      </w:r>
      <w:r w:rsidR="003821A9" w:rsidRPr="00F70E8F">
        <w:t>2</w:t>
      </w:r>
      <w:r w:rsidRPr="00F70E8F">
        <w:t xml:space="preserve"> billion </w:t>
      </w:r>
    </w:p>
    <w:p w14:paraId="122B322E" w14:textId="1BD57871" w:rsidR="00EB790B" w:rsidRPr="00B0472C" w:rsidRDefault="00EB790B" w:rsidP="00A9784D">
      <w:pPr>
        <w:pStyle w:val="BulletList"/>
      </w:pPr>
      <w:r w:rsidRPr="00B0472C">
        <w:t xml:space="preserve">Northern Territory – </w:t>
      </w:r>
      <w:r w:rsidR="00A17C36" w:rsidRPr="00B0472C">
        <w:t xml:space="preserve">1 project worth </w:t>
      </w:r>
      <w:r w:rsidRPr="00B0472C">
        <w:t>$0.</w:t>
      </w:r>
      <w:r w:rsidR="00B83A03" w:rsidRPr="00B0472C">
        <w:t>1</w:t>
      </w:r>
      <w:r w:rsidRPr="00B0472C">
        <w:t xml:space="preserve"> billion.</w:t>
      </w:r>
    </w:p>
    <w:p w14:paraId="0F1D9590" w14:textId="72AEE055" w:rsidR="00BC676F" w:rsidRPr="00446F8F" w:rsidRDefault="00BC676F" w:rsidP="00BC676F">
      <w:pPr>
        <w:pStyle w:val="Heading2"/>
      </w:pPr>
      <w:bookmarkStart w:id="162" w:name="_Toc95805116"/>
      <w:bookmarkStart w:id="163" w:name="_Toc126933051"/>
      <w:bookmarkStart w:id="164" w:name="_Toc126933935"/>
      <w:bookmarkStart w:id="165" w:name="_Toc404858415"/>
      <w:bookmarkStart w:id="166" w:name="_Toc191539021"/>
      <w:r w:rsidRPr="00446F8F">
        <w:lastRenderedPageBreak/>
        <w:t>Mixed</w:t>
      </w:r>
      <w:r w:rsidR="0039522C">
        <w:t>–</w:t>
      </w:r>
      <w:r w:rsidRPr="00446F8F">
        <w:t>use developments</w:t>
      </w:r>
      <w:bookmarkEnd w:id="166"/>
    </w:p>
    <w:p w14:paraId="088EC85D" w14:textId="028E619F" w:rsidR="003C059E" w:rsidRDefault="000059C5" w:rsidP="00BC676F">
      <w:r>
        <w:t xml:space="preserve">The </w:t>
      </w:r>
      <w:r w:rsidR="007D26CE" w:rsidRPr="007D26CE">
        <w:t>Tourism Investment Monitor does not include mixed</w:t>
      </w:r>
      <w:r w:rsidR="0039522C">
        <w:t>–</w:t>
      </w:r>
      <w:r w:rsidR="007D26CE" w:rsidRPr="007D26CE">
        <w:t>use developments</w:t>
      </w:r>
      <w:r w:rsidR="004D327C">
        <w:t xml:space="preserve"> in the total projects and investment numbers</w:t>
      </w:r>
      <w:r w:rsidR="007D26CE" w:rsidRPr="007D26CE">
        <w:t xml:space="preserve"> </w:t>
      </w:r>
      <w:r w:rsidR="004D327C">
        <w:t xml:space="preserve">due to </w:t>
      </w:r>
      <w:r w:rsidR="007D26CE" w:rsidRPr="007D26CE">
        <w:t>the difficulty in attributing an explicit value to the tourism</w:t>
      </w:r>
      <w:r w:rsidR="0039522C">
        <w:t>–</w:t>
      </w:r>
      <w:r w:rsidR="007D26CE" w:rsidRPr="007D26CE">
        <w:t>specific component of such projects.</w:t>
      </w:r>
      <w:r w:rsidR="00BC676F" w:rsidRPr="007D26CE">
        <w:t xml:space="preserve"> However, mixed</w:t>
      </w:r>
      <w:r w:rsidR="0039522C">
        <w:t>–</w:t>
      </w:r>
      <w:r w:rsidR="00BC676F" w:rsidRPr="007D26CE">
        <w:t xml:space="preserve">use projects that incorporate a </w:t>
      </w:r>
      <w:r w:rsidR="00BC4382">
        <w:t xml:space="preserve">significant </w:t>
      </w:r>
      <w:r w:rsidR="00BC676F" w:rsidRPr="007D26CE">
        <w:t xml:space="preserve">tourism component are considered separately. </w:t>
      </w:r>
    </w:p>
    <w:p w14:paraId="7CFF62DE" w14:textId="4F0E27B4" w:rsidR="00BC676F" w:rsidRPr="007D26CE" w:rsidRDefault="00BC676F" w:rsidP="00BC676F">
      <w:r w:rsidRPr="007D26CE">
        <w:t>Such projects may combine residential, commercial and leisure spaces</w:t>
      </w:r>
      <w:r w:rsidR="00095473">
        <w:t xml:space="preserve"> with a </w:t>
      </w:r>
      <w:r w:rsidRPr="007D26CE">
        <w:t>short</w:t>
      </w:r>
      <w:r w:rsidR="0039522C">
        <w:t>–</w:t>
      </w:r>
      <w:r w:rsidRPr="007D26CE">
        <w:t>term accommodatio</w:t>
      </w:r>
      <w:r w:rsidR="00095473">
        <w:t>n option</w:t>
      </w:r>
      <w:r w:rsidRPr="007D26CE">
        <w:t xml:space="preserve">. </w:t>
      </w:r>
      <w:r w:rsidR="00F73137">
        <w:t>Mixed</w:t>
      </w:r>
      <w:r w:rsidR="0039522C">
        <w:t>–</w:t>
      </w:r>
      <w:r w:rsidR="00F73137">
        <w:t>use developments</w:t>
      </w:r>
      <w:r w:rsidRPr="007D26CE">
        <w:t xml:space="preserve"> </w:t>
      </w:r>
      <w:r w:rsidR="003351DE">
        <w:t>included in this report</w:t>
      </w:r>
      <w:r w:rsidRPr="007D26CE">
        <w:t xml:space="preserve"> typically contain food and beverage</w:t>
      </w:r>
      <w:r w:rsidR="003351DE">
        <w:t>,</w:t>
      </w:r>
      <w:r w:rsidRPr="007D26CE">
        <w:t xml:space="preserve"> retail services and</w:t>
      </w:r>
      <w:r w:rsidR="003351DE">
        <w:t>/or</w:t>
      </w:r>
      <w:r w:rsidRPr="007D26CE">
        <w:t xml:space="preserve"> hotel or short</w:t>
      </w:r>
      <w:r w:rsidR="0039522C">
        <w:t>–</w:t>
      </w:r>
      <w:r w:rsidRPr="007D26CE">
        <w:t>stay rental properties</w:t>
      </w:r>
      <w:r w:rsidR="005846FD">
        <w:t xml:space="preserve"> that</w:t>
      </w:r>
      <w:r w:rsidRPr="007D26CE">
        <w:t xml:space="preserve"> contribute significant value to the visitor economy. </w:t>
      </w:r>
    </w:p>
    <w:p w14:paraId="6C80C945" w14:textId="458BC516" w:rsidR="00BC676F" w:rsidRPr="00CD1584" w:rsidRDefault="00BC676F" w:rsidP="00BC676F">
      <w:pPr>
        <w:widowControl w:val="0"/>
        <w:rPr>
          <w:highlight w:val="yellow"/>
        </w:rPr>
      </w:pPr>
      <w:r w:rsidRPr="007D26CE">
        <w:t>The mixed</w:t>
      </w:r>
      <w:r w:rsidR="0039522C">
        <w:t>–</w:t>
      </w:r>
      <w:r w:rsidRPr="007D26CE">
        <w:t>use pipeline is very large and add</w:t>
      </w:r>
      <w:r w:rsidR="009A0BB8">
        <w:t>s</w:t>
      </w:r>
      <w:r w:rsidRPr="007D26CE">
        <w:t xml:space="preserve"> more rooms than the standalone accommodation pipeline.</w:t>
      </w:r>
      <w:r w:rsidR="00536CE8" w:rsidRPr="007D26CE">
        <w:t xml:space="preserve"> </w:t>
      </w:r>
      <w:r w:rsidRPr="008B1264">
        <w:t>In 2023</w:t>
      </w:r>
      <w:r w:rsidR="0039522C">
        <w:t>–</w:t>
      </w:r>
      <w:r w:rsidRPr="008B1264">
        <w:t xml:space="preserve">24, there were </w:t>
      </w:r>
      <w:r w:rsidR="00CD491D" w:rsidRPr="008B1264">
        <w:t>19</w:t>
      </w:r>
      <w:r w:rsidR="000D5AF1">
        <w:t>1</w:t>
      </w:r>
      <w:r w:rsidRPr="008B1264">
        <w:t xml:space="preserve"> mixed</w:t>
      </w:r>
      <w:r w:rsidR="0039522C">
        <w:t>–</w:t>
      </w:r>
      <w:r w:rsidRPr="008B1264">
        <w:t>use developments valued at $</w:t>
      </w:r>
      <w:r w:rsidR="008B1264" w:rsidRPr="008B1264">
        <w:t>85.</w:t>
      </w:r>
      <w:r w:rsidR="000D5AF1">
        <w:t>3</w:t>
      </w:r>
      <w:r w:rsidRPr="008B1264">
        <w:t> billion</w:t>
      </w:r>
      <w:r w:rsidRPr="008B1264">
        <w:rPr>
          <w:rStyle w:val="FootnoteReference"/>
        </w:rPr>
        <w:footnoteReference w:id="10"/>
      </w:r>
      <w:r w:rsidRPr="008B1264">
        <w:t xml:space="preserve"> with the potential to add </w:t>
      </w:r>
      <w:r w:rsidR="00DD2DEC" w:rsidRPr="008B1264">
        <w:t>3</w:t>
      </w:r>
      <w:r w:rsidR="00241354">
        <w:t>0,</w:t>
      </w:r>
      <w:r w:rsidR="000D5AF1">
        <w:t>2</w:t>
      </w:r>
      <w:r w:rsidRPr="008B1264">
        <w:t>00 rooms</w:t>
      </w:r>
      <w:r w:rsidRPr="008B1264">
        <w:rPr>
          <w:rStyle w:val="FootnoteReference"/>
        </w:rPr>
        <w:footnoteReference w:id="11"/>
      </w:r>
      <w:r w:rsidRPr="008B1264">
        <w:t xml:space="preserve"> to accommodation supply. </w:t>
      </w:r>
    </w:p>
    <w:p w14:paraId="510D519A" w14:textId="1B3E207C" w:rsidR="00EB790B" w:rsidRPr="00241354" w:rsidRDefault="00EB790B" w:rsidP="00EB790B">
      <w:pPr>
        <w:pStyle w:val="Heading2"/>
        <w:rPr>
          <w:b/>
          <w:color w:val="7A4282" w:themeColor="accent1"/>
          <w:szCs w:val="32"/>
        </w:rPr>
      </w:pPr>
      <w:bookmarkStart w:id="167" w:name="_Toc153782356"/>
      <w:bookmarkStart w:id="168" w:name="_Toc191539022"/>
      <w:r w:rsidRPr="00241354">
        <w:rPr>
          <w:color w:val="7A4282" w:themeColor="accent1"/>
          <w:szCs w:val="32"/>
        </w:rPr>
        <w:t>Mixed</w:t>
      </w:r>
      <w:r w:rsidR="0039522C">
        <w:rPr>
          <w:color w:val="7A4282" w:themeColor="accent1"/>
          <w:szCs w:val="32"/>
        </w:rPr>
        <w:t>–</w:t>
      </w:r>
      <w:r w:rsidRPr="00241354">
        <w:rPr>
          <w:color w:val="7A4282" w:themeColor="accent1"/>
          <w:szCs w:val="32"/>
        </w:rPr>
        <w:t>use accommodation results</w:t>
      </w:r>
      <w:bookmarkEnd w:id="162"/>
      <w:bookmarkEnd w:id="163"/>
      <w:bookmarkEnd w:id="164"/>
      <w:bookmarkEnd w:id="165"/>
      <w:bookmarkEnd w:id="167"/>
      <w:bookmarkEnd w:id="168"/>
    </w:p>
    <w:tbl>
      <w:tblPr>
        <w:tblStyle w:val="TableGrid"/>
        <w:tblW w:w="0" w:type="auto"/>
        <w:jc w:val="center"/>
        <w:tblLook w:val="04A0" w:firstRow="1" w:lastRow="0" w:firstColumn="1" w:lastColumn="0" w:noHBand="0" w:noVBand="1"/>
        <w:tblCaption w:val="Mixed-use accommodation summary table"/>
        <w:tblDescription w:val="Total&#10;$85.3 billion&#10;191 projects&#10;30,200&#10;Change from 2022–23: &#10;Up $12.3 billion &#10;Up 17 projects &#10;Up 2,000 rooms&#10;&#10;Capital cities&#10;$73.6 billion&#10;144 projects&#10;23,700&#10;Change from 2022–23: &#10;Up $12.3 billion &#10;Up 20 projects&#10;Up 3,100 rooms&#10;&#10;Regional&#10;$11.7 billion&#10;47 projects&#10;6,400&#10;Change from 2022–23: &#10;No change&#10;Down 3 projects&#10;Down 400 rooms &#10;"/>
      </w:tblPr>
      <w:tblGrid>
        <w:gridCol w:w="3117"/>
        <w:gridCol w:w="3116"/>
        <w:gridCol w:w="3117"/>
      </w:tblGrid>
      <w:tr w:rsidR="00EB790B" w:rsidRPr="00CD1584" w14:paraId="56529F5E" w14:textId="77777777" w:rsidTr="00911DF7">
        <w:trPr>
          <w:trHeight w:val="546"/>
          <w:jc w:val="center"/>
        </w:trPr>
        <w:tc>
          <w:tcPr>
            <w:tcW w:w="3117" w:type="dxa"/>
            <w:shd w:val="clear" w:color="auto" w:fill="2E1A47" w:themeFill="text2"/>
            <w:vAlign w:val="center"/>
          </w:tcPr>
          <w:p w14:paraId="0700511F" w14:textId="77777777" w:rsidR="00EB790B" w:rsidRPr="00A72D7A" w:rsidRDefault="00EB790B" w:rsidP="00911DF7">
            <w:pPr>
              <w:jc w:val="center"/>
              <w:rPr>
                <w:b/>
                <w:color w:val="FFFFFF" w:themeColor="background1"/>
              </w:rPr>
            </w:pPr>
            <w:bookmarkStart w:id="169" w:name="_Toc95805117"/>
            <w:bookmarkStart w:id="170" w:name="_Toc95899359"/>
            <w:r w:rsidRPr="00A72D7A">
              <w:rPr>
                <w:b/>
                <w:color w:val="FFFFFF" w:themeColor="background1"/>
              </w:rPr>
              <w:t>Total</w:t>
            </w:r>
            <w:r w:rsidRPr="00A72D7A">
              <w:rPr>
                <w:rStyle w:val="FootnoteReference"/>
                <w:b/>
                <w:color w:val="FFFFFF" w:themeColor="background1"/>
              </w:rPr>
              <w:footnoteReference w:id="12"/>
            </w:r>
          </w:p>
        </w:tc>
        <w:tc>
          <w:tcPr>
            <w:tcW w:w="3116" w:type="dxa"/>
            <w:shd w:val="clear" w:color="auto" w:fill="2E1A47" w:themeFill="text2"/>
            <w:vAlign w:val="center"/>
          </w:tcPr>
          <w:p w14:paraId="3234D360" w14:textId="77777777" w:rsidR="00EB790B" w:rsidRPr="00A72D7A" w:rsidRDefault="00EB790B" w:rsidP="00911DF7">
            <w:pPr>
              <w:jc w:val="center"/>
              <w:rPr>
                <w:b/>
                <w:color w:val="FFFFFF" w:themeColor="background1"/>
              </w:rPr>
            </w:pPr>
            <w:r w:rsidRPr="00A72D7A">
              <w:rPr>
                <w:b/>
                <w:color w:val="FFFFFF" w:themeColor="background1"/>
              </w:rPr>
              <w:t>Capital cities</w:t>
            </w:r>
          </w:p>
        </w:tc>
        <w:tc>
          <w:tcPr>
            <w:tcW w:w="3117" w:type="dxa"/>
            <w:shd w:val="clear" w:color="auto" w:fill="2E1A47" w:themeFill="text2"/>
            <w:vAlign w:val="center"/>
          </w:tcPr>
          <w:p w14:paraId="2F9DDDCC" w14:textId="77777777" w:rsidR="00EB790B" w:rsidRPr="00A72D7A" w:rsidRDefault="00EB790B" w:rsidP="00911DF7">
            <w:pPr>
              <w:jc w:val="center"/>
              <w:rPr>
                <w:b/>
                <w:color w:val="FFFFFF" w:themeColor="background1"/>
              </w:rPr>
            </w:pPr>
            <w:r w:rsidRPr="00A72D7A">
              <w:rPr>
                <w:b/>
                <w:color w:val="FFFFFF" w:themeColor="background1"/>
              </w:rPr>
              <w:t>Regional</w:t>
            </w:r>
          </w:p>
        </w:tc>
      </w:tr>
      <w:tr w:rsidR="00EB790B" w:rsidRPr="00CD1584" w14:paraId="19A16875" w14:textId="77777777" w:rsidTr="00C741A5">
        <w:trPr>
          <w:trHeight w:val="862"/>
          <w:jc w:val="center"/>
        </w:trPr>
        <w:tc>
          <w:tcPr>
            <w:tcW w:w="3117" w:type="dxa"/>
          </w:tcPr>
          <w:p w14:paraId="03F59726" w14:textId="776EB638" w:rsidR="00452A96" w:rsidRPr="00BA620F" w:rsidRDefault="00452A96" w:rsidP="00FB0A9E">
            <w:pPr>
              <w:spacing w:before="120" w:after="120" w:line="300" w:lineRule="atLeast"/>
              <w:jc w:val="center"/>
              <w:rPr>
                <w:rFonts w:asciiTheme="majorHAnsi" w:eastAsia="Times New Roman" w:hAnsiTheme="majorHAnsi" w:cs="Times New Roman"/>
                <w:color w:val="000000"/>
                <w:lang w:eastAsia="en-AU"/>
              </w:rPr>
            </w:pPr>
            <w:r w:rsidRPr="00BA620F">
              <w:rPr>
                <w:rFonts w:asciiTheme="majorHAnsi" w:eastAsia="Times New Roman" w:hAnsiTheme="majorHAnsi" w:cs="Times New Roman"/>
                <w:color w:val="000000"/>
                <w:lang w:eastAsia="en-AU"/>
              </w:rPr>
              <w:t>$</w:t>
            </w:r>
            <w:r w:rsidR="00F52627" w:rsidRPr="00BA620F">
              <w:rPr>
                <w:rFonts w:asciiTheme="majorHAnsi" w:eastAsia="Times New Roman" w:hAnsiTheme="majorHAnsi" w:cs="Times New Roman"/>
                <w:color w:val="000000"/>
                <w:lang w:eastAsia="en-AU"/>
              </w:rPr>
              <w:t>85.</w:t>
            </w:r>
            <w:r w:rsidR="00631F1C">
              <w:rPr>
                <w:rFonts w:asciiTheme="majorHAnsi" w:eastAsia="Times New Roman" w:hAnsiTheme="majorHAnsi" w:cs="Times New Roman"/>
                <w:color w:val="000000"/>
                <w:lang w:eastAsia="en-AU"/>
              </w:rPr>
              <w:t>3</w:t>
            </w:r>
            <w:r w:rsidRPr="00BA620F">
              <w:rPr>
                <w:rFonts w:asciiTheme="majorHAnsi" w:eastAsia="Times New Roman" w:hAnsiTheme="majorHAnsi" w:cs="Times New Roman"/>
                <w:color w:val="000000"/>
                <w:lang w:eastAsia="en-AU"/>
              </w:rPr>
              <w:t xml:space="preserve"> billion</w:t>
            </w:r>
          </w:p>
          <w:p w14:paraId="7A724F1A" w14:textId="1177DC66" w:rsidR="00452A96" w:rsidRPr="00BA620F" w:rsidRDefault="002E264E" w:rsidP="00FB0A9E">
            <w:pPr>
              <w:spacing w:before="120" w:after="120" w:line="300" w:lineRule="atLeast"/>
              <w:jc w:val="center"/>
              <w:rPr>
                <w:rFonts w:asciiTheme="majorHAnsi" w:eastAsia="Times New Roman" w:hAnsiTheme="majorHAnsi" w:cs="Times New Roman"/>
                <w:color w:val="000000"/>
                <w:lang w:eastAsia="en-AU"/>
              </w:rPr>
            </w:pPr>
            <w:r w:rsidRPr="002E264E">
              <w:rPr>
                <w:rFonts w:asciiTheme="majorHAnsi" w:eastAsia="Times New Roman" w:hAnsiTheme="majorHAnsi" w:cs="Times New Roman"/>
                <w:color w:val="000000"/>
                <w:lang w:eastAsia="en-AU"/>
              </w:rPr>
              <w:t>1</w:t>
            </w:r>
            <w:r w:rsidR="00452A96" w:rsidRPr="00BA620F">
              <w:rPr>
                <w:rFonts w:asciiTheme="majorHAnsi" w:eastAsia="Times New Roman" w:hAnsiTheme="majorHAnsi" w:cs="Times New Roman"/>
                <w:color w:val="000000"/>
                <w:lang w:eastAsia="en-AU"/>
              </w:rPr>
              <w:t>9</w:t>
            </w:r>
            <w:r w:rsidR="00631F1C">
              <w:rPr>
                <w:rFonts w:asciiTheme="majorHAnsi" w:eastAsia="Times New Roman" w:hAnsiTheme="majorHAnsi" w:cs="Times New Roman"/>
                <w:color w:val="000000"/>
                <w:lang w:eastAsia="en-AU"/>
              </w:rPr>
              <w:t>1</w:t>
            </w:r>
            <w:r w:rsidR="00452A96" w:rsidRPr="00BA620F">
              <w:rPr>
                <w:rFonts w:asciiTheme="majorHAnsi" w:eastAsia="Times New Roman" w:hAnsiTheme="majorHAnsi" w:cs="Times New Roman"/>
                <w:color w:val="000000"/>
                <w:lang w:eastAsia="en-AU"/>
              </w:rPr>
              <w:t xml:space="preserve"> projects</w:t>
            </w:r>
          </w:p>
          <w:p w14:paraId="759761F2" w14:textId="2F6ACB6F" w:rsidR="00EB790B" w:rsidRPr="00BA620F" w:rsidRDefault="00241354" w:rsidP="00FB0A9E">
            <w:pPr>
              <w:spacing w:before="120" w:after="120" w:line="300" w:lineRule="atLeast"/>
              <w:jc w:val="center"/>
              <w:rPr>
                <w:rFonts w:asciiTheme="majorHAnsi" w:eastAsia="Times New Roman" w:hAnsiTheme="majorHAnsi" w:cs="Times New Roman"/>
                <w:color w:val="000000"/>
                <w:lang w:eastAsia="en-AU"/>
              </w:rPr>
            </w:pPr>
            <w:r w:rsidRPr="00BA620F">
              <w:rPr>
                <w:rFonts w:asciiTheme="majorHAnsi" w:eastAsia="Times New Roman" w:hAnsiTheme="majorHAnsi" w:cs="Times New Roman"/>
                <w:color w:val="000000"/>
                <w:lang w:eastAsia="en-AU"/>
              </w:rPr>
              <w:t>30,</w:t>
            </w:r>
            <w:r w:rsidR="00FE120B">
              <w:rPr>
                <w:rFonts w:asciiTheme="majorHAnsi" w:eastAsia="Times New Roman" w:hAnsiTheme="majorHAnsi" w:cs="Times New Roman"/>
                <w:color w:val="000000"/>
                <w:lang w:eastAsia="en-AU"/>
              </w:rPr>
              <w:t>2</w:t>
            </w:r>
            <w:r w:rsidRPr="00BA620F">
              <w:rPr>
                <w:rFonts w:asciiTheme="majorHAnsi" w:eastAsia="Times New Roman" w:hAnsiTheme="majorHAnsi" w:cs="Times New Roman"/>
                <w:color w:val="000000"/>
                <w:lang w:eastAsia="en-AU"/>
              </w:rPr>
              <w:t>00</w:t>
            </w:r>
          </w:p>
        </w:tc>
        <w:tc>
          <w:tcPr>
            <w:tcW w:w="3116" w:type="dxa"/>
          </w:tcPr>
          <w:p w14:paraId="5F0E7987" w14:textId="1C384074" w:rsidR="005018F1" w:rsidRPr="004E0877" w:rsidRDefault="00E123C2" w:rsidP="00FB0A9E">
            <w:pPr>
              <w:spacing w:before="120" w:after="120" w:line="300" w:lineRule="atLeast"/>
              <w:jc w:val="center"/>
              <w:rPr>
                <w:rFonts w:asciiTheme="majorHAnsi" w:eastAsia="Times New Roman" w:hAnsiTheme="majorHAnsi" w:cs="Times New Roman"/>
                <w:color w:val="000000"/>
                <w:lang w:eastAsia="en-AU"/>
              </w:rPr>
            </w:pPr>
            <w:r w:rsidRPr="004E0877">
              <w:rPr>
                <w:rFonts w:asciiTheme="majorHAnsi" w:eastAsia="Times New Roman" w:hAnsiTheme="majorHAnsi" w:cs="Times New Roman"/>
                <w:color w:val="000000"/>
                <w:lang w:eastAsia="en-AU"/>
              </w:rPr>
              <w:t>$</w:t>
            </w:r>
            <w:r w:rsidR="004E0877" w:rsidRPr="004E0877">
              <w:rPr>
                <w:rFonts w:asciiTheme="majorHAnsi" w:eastAsia="Times New Roman" w:hAnsiTheme="majorHAnsi" w:cs="Times New Roman"/>
                <w:color w:val="000000"/>
                <w:lang w:eastAsia="en-AU"/>
              </w:rPr>
              <w:t>73.</w:t>
            </w:r>
            <w:r w:rsidR="00874A51">
              <w:rPr>
                <w:rFonts w:asciiTheme="majorHAnsi" w:eastAsia="Times New Roman" w:hAnsiTheme="majorHAnsi" w:cs="Times New Roman"/>
                <w:color w:val="000000"/>
                <w:lang w:eastAsia="en-AU"/>
              </w:rPr>
              <w:t>6</w:t>
            </w:r>
            <w:r w:rsidRPr="004E0877">
              <w:rPr>
                <w:rFonts w:asciiTheme="majorHAnsi" w:eastAsia="Times New Roman" w:hAnsiTheme="majorHAnsi" w:cs="Times New Roman"/>
                <w:color w:val="000000"/>
                <w:lang w:eastAsia="en-AU"/>
              </w:rPr>
              <w:t xml:space="preserve"> billion</w:t>
            </w:r>
          </w:p>
          <w:p w14:paraId="79B73F6E" w14:textId="393AEBFB" w:rsidR="005018F1" w:rsidRPr="004E0877" w:rsidRDefault="002E264E" w:rsidP="00FB0A9E">
            <w:pPr>
              <w:spacing w:before="120" w:after="120" w:line="300" w:lineRule="atLeast"/>
              <w:jc w:val="center"/>
              <w:rPr>
                <w:rFonts w:asciiTheme="majorHAnsi" w:eastAsia="Times New Roman" w:hAnsiTheme="majorHAnsi" w:cs="Times New Roman"/>
                <w:color w:val="000000"/>
                <w:lang w:eastAsia="en-AU"/>
              </w:rPr>
            </w:pPr>
            <w:r w:rsidRPr="002E264E">
              <w:rPr>
                <w:rFonts w:asciiTheme="majorHAnsi" w:eastAsia="Times New Roman" w:hAnsiTheme="majorHAnsi" w:cs="Times New Roman"/>
                <w:color w:val="000000"/>
                <w:lang w:eastAsia="en-AU"/>
              </w:rPr>
              <w:t>1</w:t>
            </w:r>
            <w:r w:rsidR="005018F1" w:rsidRPr="004E0877">
              <w:rPr>
                <w:rFonts w:asciiTheme="majorHAnsi" w:eastAsia="Times New Roman" w:hAnsiTheme="majorHAnsi" w:cs="Times New Roman"/>
                <w:color w:val="000000"/>
                <w:lang w:eastAsia="en-AU"/>
              </w:rPr>
              <w:t>4</w:t>
            </w:r>
            <w:r w:rsidR="00632A72">
              <w:rPr>
                <w:rFonts w:asciiTheme="majorHAnsi" w:eastAsia="Times New Roman" w:hAnsiTheme="majorHAnsi" w:cs="Times New Roman"/>
                <w:color w:val="000000"/>
                <w:lang w:eastAsia="en-AU"/>
              </w:rPr>
              <w:t>4</w:t>
            </w:r>
            <w:r w:rsidR="005018F1" w:rsidRPr="004E0877">
              <w:rPr>
                <w:rFonts w:asciiTheme="majorHAnsi" w:eastAsia="Times New Roman" w:hAnsiTheme="majorHAnsi" w:cs="Times New Roman"/>
                <w:color w:val="000000"/>
                <w:lang w:eastAsia="en-AU"/>
              </w:rPr>
              <w:t xml:space="preserve"> projects</w:t>
            </w:r>
          </w:p>
          <w:p w14:paraId="55B3E260" w14:textId="20A9488D" w:rsidR="00EB790B" w:rsidRPr="00CD1584" w:rsidRDefault="005018F1" w:rsidP="00FB0A9E">
            <w:pPr>
              <w:spacing w:before="120" w:after="120" w:line="300" w:lineRule="atLeast"/>
              <w:jc w:val="center"/>
              <w:rPr>
                <w:rFonts w:asciiTheme="majorHAnsi" w:eastAsia="Times New Roman" w:hAnsiTheme="majorHAnsi" w:cs="Times New Roman"/>
                <w:color w:val="000000"/>
                <w:highlight w:val="yellow"/>
                <w:lang w:eastAsia="en-AU"/>
              </w:rPr>
            </w:pPr>
            <w:r w:rsidRPr="00371BD5">
              <w:rPr>
                <w:rFonts w:asciiTheme="majorHAnsi" w:eastAsia="Times New Roman" w:hAnsiTheme="majorHAnsi" w:cs="Times New Roman"/>
                <w:color w:val="000000"/>
                <w:lang w:eastAsia="en-AU"/>
              </w:rPr>
              <w:t>2</w:t>
            </w:r>
            <w:r w:rsidR="004C45A1">
              <w:rPr>
                <w:rFonts w:asciiTheme="majorHAnsi" w:eastAsia="Times New Roman" w:hAnsiTheme="majorHAnsi" w:cs="Times New Roman"/>
                <w:color w:val="000000"/>
                <w:lang w:eastAsia="en-AU"/>
              </w:rPr>
              <w:t>3</w:t>
            </w:r>
            <w:r w:rsidRPr="00371BD5">
              <w:rPr>
                <w:rFonts w:asciiTheme="majorHAnsi" w:eastAsia="Times New Roman" w:hAnsiTheme="majorHAnsi" w:cs="Times New Roman"/>
                <w:color w:val="000000"/>
                <w:lang w:eastAsia="en-AU"/>
              </w:rPr>
              <w:t>,</w:t>
            </w:r>
            <w:r w:rsidR="004C45A1">
              <w:rPr>
                <w:rFonts w:asciiTheme="majorHAnsi" w:eastAsia="Times New Roman" w:hAnsiTheme="majorHAnsi" w:cs="Times New Roman"/>
                <w:color w:val="000000"/>
                <w:lang w:eastAsia="en-AU"/>
              </w:rPr>
              <w:t>7</w:t>
            </w:r>
            <w:r w:rsidRPr="00371BD5">
              <w:rPr>
                <w:rFonts w:asciiTheme="majorHAnsi" w:eastAsia="Times New Roman" w:hAnsiTheme="majorHAnsi" w:cs="Times New Roman"/>
                <w:color w:val="000000"/>
                <w:lang w:eastAsia="en-AU"/>
              </w:rPr>
              <w:t>00</w:t>
            </w:r>
          </w:p>
        </w:tc>
        <w:tc>
          <w:tcPr>
            <w:tcW w:w="3117" w:type="dxa"/>
          </w:tcPr>
          <w:p w14:paraId="2A1D8E89" w14:textId="446A138E" w:rsidR="00E123C2" w:rsidRPr="00371BD5" w:rsidRDefault="00081E87" w:rsidP="00FB0A9E">
            <w:pPr>
              <w:spacing w:before="120" w:after="120" w:line="300" w:lineRule="atLeast"/>
              <w:jc w:val="center"/>
              <w:rPr>
                <w:rFonts w:asciiTheme="majorHAnsi" w:eastAsia="Times New Roman" w:hAnsiTheme="majorHAnsi" w:cs="Times New Roman"/>
                <w:color w:val="000000"/>
                <w:lang w:eastAsia="en-AU"/>
              </w:rPr>
            </w:pPr>
            <w:r w:rsidRPr="00371BD5">
              <w:rPr>
                <w:rFonts w:asciiTheme="majorHAnsi" w:eastAsia="Times New Roman" w:hAnsiTheme="majorHAnsi" w:cs="Times New Roman"/>
                <w:color w:val="000000"/>
                <w:lang w:eastAsia="en-AU"/>
              </w:rPr>
              <w:t>$11.</w:t>
            </w:r>
            <w:r w:rsidR="00632A72">
              <w:rPr>
                <w:rFonts w:asciiTheme="majorHAnsi" w:eastAsia="Times New Roman" w:hAnsiTheme="majorHAnsi" w:cs="Times New Roman"/>
                <w:color w:val="000000"/>
                <w:lang w:eastAsia="en-AU"/>
              </w:rPr>
              <w:t>7</w:t>
            </w:r>
            <w:r w:rsidRPr="00371BD5">
              <w:rPr>
                <w:rFonts w:asciiTheme="majorHAnsi" w:eastAsia="Times New Roman" w:hAnsiTheme="majorHAnsi" w:cs="Times New Roman"/>
                <w:color w:val="000000"/>
                <w:lang w:eastAsia="en-AU"/>
              </w:rPr>
              <w:t xml:space="preserve"> billion</w:t>
            </w:r>
          </w:p>
          <w:p w14:paraId="3AB2E706" w14:textId="3CDD00B7" w:rsidR="00E123C2" w:rsidRPr="00371BD5" w:rsidRDefault="00E123C2" w:rsidP="00FB0A9E">
            <w:pPr>
              <w:spacing w:before="120" w:after="120" w:line="300" w:lineRule="atLeast"/>
              <w:jc w:val="center"/>
              <w:rPr>
                <w:rFonts w:asciiTheme="majorHAnsi" w:eastAsia="Times New Roman" w:hAnsiTheme="majorHAnsi" w:cs="Times New Roman"/>
                <w:color w:val="000000"/>
                <w:lang w:eastAsia="en-AU"/>
              </w:rPr>
            </w:pPr>
            <w:r w:rsidRPr="00371BD5">
              <w:rPr>
                <w:rFonts w:asciiTheme="majorHAnsi" w:eastAsia="Times New Roman" w:hAnsiTheme="majorHAnsi" w:cs="Times New Roman"/>
                <w:color w:val="000000"/>
                <w:lang w:eastAsia="en-AU"/>
              </w:rPr>
              <w:t>4</w:t>
            </w:r>
            <w:r w:rsidR="00632A72">
              <w:rPr>
                <w:rFonts w:asciiTheme="majorHAnsi" w:eastAsia="Times New Roman" w:hAnsiTheme="majorHAnsi" w:cs="Times New Roman"/>
                <w:color w:val="000000"/>
                <w:lang w:eastAsia="en-AU"/>
              </w:rPr>
              <w:t>7</w:t>
            </w:r>
            <w:r w:rsidRPr="00371BD5">
              <w:rPr>
                <w:rFonts w:asciiTheme="majorHAnsi" w:eastAsia="Times New Roman" w:hAnsiTheme="majorHAnsi" w:cs="Times New Roman"/>
                <w:color w:val="000000"/>
                <w:lang w:eastAsia="en-AU"/>
              </w:rPr>
              <w:t xml:space="preserve"> projects</w:t>
            </w:r>
          </w:p>
          <w:p w14:paraId="0882B689" w14:textId="5E6F9C5A" w:rsidR="00EB790B" w:rsidRPr="00371BD5" w:rsidRDefault="00081E87" w:rsidP="00FB0A9E">
            <w:pPr>
              <w:spacing w:before="120" w:after="120" w:line="300" w:lineRule="atLeast"/>
              <w:jc w:val="center"/>
              <w:rPr>
                <w:rFonts w:asciiTheme="majorHAnsi" w:eastAsia="Times New Roman" w:hAnsiTheme="majorHAnsi" w:cs="Times New Roman"/>
                <w:color w:val="000000"/>
                <w:lang w:eastAsia="en-AU"/>
              </w:rPr>
            </w:pPr>
            <w:r w:rsidRPr="00371BD5">
              <w:rPr>
                <w:rFonts w:asciiTheme="majorHAnsi" w:eastAsia="Times New Roman" w:hAnsiTheme="majorHAnsi" w:cs="Times New Roman"/>
                <w:color w:val="000000"/>
                <w:lang w:eastAsia="en-AU"/>
              </w:rPr>
              <w:t>6,400</w:t>
            </w:r>
          </w:p>
        </w:tc>
      </w:tr>
      <w:tr w:rsidR="00EB790B" w:rsidRPr="00CD1584" w14:paraId="247C04A3" w14:textId="77777777" w:rsidTr="00BD5E27">
        <w:trPr>
          <w:trHeight w:val="1248"/>
          <w:jc w:val="center"/>
        </w:trPr>
        <w:tc>
          <w:tcPr>
            <w:tcW w:w="3117" w:type="dxa"/>
          </w:tcPr>
          <w:p w14:paraId="60311D4E" w14:textId="3E750D3F" w:rsidR="00EB790B" w:rsidRPr="00982373" w:rsidRDefault="00DC4C46" w:rsidP="00FB0A9E">
            <w:pPr>
              <w:spacing w:before="120" w:after="120" w:line="300" w:lineRule="atLeast"/>
              <w:jc w:val="center"/>
              <w:rPr>
                <w:rFonts w:asciiTheme="minorHAnsi" w:hAnsiTheme="minorHAnsi"/>
              </w:rPr>
            </w:pPr>
            <w:r w:rsidRPr="00982373">
              <w:rPr>
                <w:rFonts w:asciiTheme="minorHAnsi" w:hAnsiTheme="minorHAnsi"/>
              </w:rPr>
              <w:t>Change from 2022</w:t>
            </w:r>
            <w:r w:rsidR="0039522C">
              <w:rPr>
                <w:rFonts w:asciiTheme="minorHAnsi" w:hAnsiTheme="minorHAnsi"/>
              </w:rPr>
              <w:t>–</w:t>
            </w:r>
            <w:r w:rsidRPr="00982373">
              <w:rPr>
                <w:rFonts w:asciiTheme="minorHAnsi" w:hAnsiTheme="minorHAnsi"/>
              </w:rPr>
              <w:t>23</w:t>
            </w:r>
            <w:r w:rsidR="00EB790B" w:rsidRPr="00982373">
              <w:rPr>
                <w:rFonts w:asciiTheme="minorHAnsi" w:hAnsiTheme="minorHAnsi"/>
              </w:rPr>
              <w:t xml:space="preserve">: </w:t>
            </w:r>
          </w:p>
          <w:p w14:paraId="573E1A24" w14:textId="3755334B" w:rsidR="00EB790B" w:rsidRPr="00982373" w:rsidRDefault="00EB790B" w:rsidP="00FB0A9E">
            <w:pPr>
              <w:spacing w:before="120" w:after="120" w:line="300" w:lineRule="atLeast"/>
              <w:jc w:val="center"/>
              <w:rPr>
                <w:rFonts w:asciiTheme="minorHAnsi" w:hAnsiTheme="minorHAnsi"/>
                <w:lang w:eastAsia="en-AU"/>
              </w:rPr>
            </w:pPr>
            <w:r w:rsidRPr="00982373">
              <w:rPr>
                <w:rFonts w:asciiTheme="minorHAnsi" w:eastAsia="Times New Roman" w:hAnsiTheme="minorHAnsi" w:cs="Times New Roman"/>
                <w:color w:val="000000"/>
                <w:lang w:eastAsia="en-AU"/>
              </w:rPr>
              <w:t>Up $</w:t>
            </w:r>
            <w:r w:rsidR="002D5D87" w:rsidRPr="00982373">
              <w:rPr>
                <w:rFonts w:asciiTheme="minorHAnsi" w:eastAsia="Times New Roman" w:hAnsiTheme="minorHAnsi" w:cs="Times New Roman"/>
                <w:color w:val="000000"/>
                <w:lang w:eastAsia="en-AU"/>
              </w:rPr>
              <w:t>12.</w:t>
            </w:r>
            <w:r w:rsidR="00910401" w:rsidRPr="00982373">
              <w:rPr>
                <w:rFonts w:asciiTheme="minorHAnsi" w:eastAsia="Times New Roman" w:hAnsiTheme="minorHAnsi" w:cs="Times New Roman"/>
                <w:color w:val="000000"/>
                <w:lang w:eastAsia="en-AU"/>
              </w:rPr>
              <w:t>3</w:t>
            </w:r>
            <w:r w:rsidRPr="00982373">
              <w:rPr>
                <w:rFonts w:asciiTheme="minorHAnsi" w:eastAsia="Times New Roman" w:hAnsiTheme="minorHAnsi" w:cs="Times New Roman"/>
                <w:color w:val="000000"/>
                <w:lang w:eastAsia="en-AU"/>
              </w:rPr>
              <w:t xml:space="preserve"> billion</w:t>
            </w:r>
            <w:r w:rsidRPr="00982373">
              <w:rPr>
                <w:rFonts w:asciiTheme="minorHAnsi" w:hAnsiTheme="minorHAnsi"/>
                <w:lang w:eastAsia="en-AU"/>
              </w:rPr>
              <w:t xml:space="preserve"> </w:t>
            </w:r>
          </w:p>
          <w:p w14:paraId="047DCAFF" w14:textId="522E77FF" w:rsidR="00EB790B" w:rsidRPr="00982373" w:rsidRDefault="00EB790B" w:rsidP="00FB0A9E">
            <w:pPr>
              <w:spacing w:before="120" w:after="120" w:line="300" w:lineRule="atLeast"/>
              <w:jc w:val="center"/>
              <w:rPr>
                <w:rFonts w:asciiTheme="minorHAnsi" w:eastAsia="Times New Roman" w:hAnsiTheme="minorHAnsi" w:cs="Times New Roman"/>
                <w:color w:val="000000"/>
                <w:lang w:eastAsia="en-AU"/>
              </w:rPr>
            </w:pPr>
            <w:r w:rsidRPr="00982373">
              <w:rPr>
                <w:rFonts w:asciiTheme="minorHAnsi" w:eastAsia="Times New Roman" w:hAnsiTheme="minorHAnsi" w:cs="Times New Roman"/>
                <w:color w:val="000000"/>
                <w:lang w:eastAsia="en-AU"/>
              </w:rPr>
              <w:t xml:space="preserve">Up </w:t>
            </w:r>
            <w:r w:rsidR="002E264E" w:rsidRPr="00982373">
              <w:rPr>
                <w:rFonts w:asciiTheme="minorHAnsi" w:eastAsia="Times New Roman" w:hAnsiTheme="minorHAnsi" w:cs="Times New Roman"/>
                <w:color w:val="000000"/>
                <w:lang w:eastAsia="en-AU"/>
              </w:rPr>
              <w:t>1</w:t>
            </w:r>
            <w:r w:rsidR="007546D6" w:rsidRPr="00982373">
              <w:rPr>
                <w:rFonts w:asciiTheme="minorHAnsi" w:eastAsia="Times New Roman" w:hAnsiTheme="minorHAnsi" w:cs="Times New Roman"/>
                <w:color w:val="000000"/>
                <w:lang w:eastAsia="en-AU"/>
              </w:rPr>
              <w:t>7</w:t>
            </w:r>
            <w:r w:rsidRPr="00982373">
              <w:rPr>
                <w:rFonts w:asciiTheme="minorHAnsi" w:eastAsia="Times New Roman" w:hAnsiTheme="minorHAnsi" w:cs="Times New Roman"/>
                <w:color w:val="000000"/>
                <w:lang w:eastAsia="en-AU"/>
              </w:rPr>
              <w:t xml:space="preserve"> projects </w:t>
            </w:r>
          </w:p>
          <w:p w14:paraId="68E14C09" w14:textId="730703C4" w:rsidR="00EB790B" w:rsidRPr="00982373" w:rsidRDefault="003F0621" w:rsidP="00FB0A9E">
            <w:pPr>
              <w:spacing w:before="120" w:after="120" w:line="300" w:lineRule="atLeast"/>
              <w:jc w:val="center"/>
              <w:rPr>
                <w:rFonts w:asciiTheme="minorHAnsi" w:hAnsiTheme="minorHAnsi"/>
              </w:rPr>
            </w:pPr>
            <w:r w:rsidRPr="00982373">
              <w:rPr>
                <w:rFonts w:asciiTheme="minorHAnsi" w:eastAsia="Times New Roman" w:hAnsiTheme="minorHAnsi" w:cs="Times New Roman"/>
                <w:color w:val="000000"/>
                <w:lang w:eastAsia="en-AU"/>
              </w:rPr>
              <w:t>Up</w:t>
            </w:r>
            <w:r w:rsidR="00EB790B" w:rsidRPr="00982373">
              <w:rPr>
                <w:rFonts w:asciiTheme="minorHAnsi" w:eastAsia="Times New Roman" w:hAnsiTheme="minorHAnsi" w:cs="Times New Roman"/>
                <w:color w:val="000000"/>
                <w:lang w:eastAsia="en-AU"/>
              </w:rPr>
              <w:t xml:space="preserve"> </w:t>
            </w:r>
            <w:r w:rsidR="00BA620F" w:rsidRPr="00982373">
              <w:rPr>
                <w:rFonts w:asciiTheme="minorHAnsi" w:eastAsia="Times New Roman" w:hAnsiTheme="minorHAnsi" w:cs="Times New Roman"/>
                <w:color w:val="000000"/>
                <w:lang w:eastAsia="en-AU"/>
              </w:rPr>
              <w:t>2,</w:t>
            </w:r>
            <w:r w:rsidR="005F2CA8" w:rsidRPr="00982373">
              <w:rPr>
                <w:rFonts w:asciiTheme="minorHAnsi" w:eastAsia="Times New Roman" w:hAnsiTheme="minorHAnsi" w:cs="Times New Roman"/>
                <w:color w:val="000000"/>
                <w:lang w:eastAsia="en-AU"/>
              </w:rPr>
              <w:t>0</w:t>
            </w:r>
            <w:r w:rsidR="00BA620F" w:rsidRPr="00982373">
              <w:rPr>
                <w:rFonts w:asciiTheme="minorHAnsi" w:eastAsia="Times New Roman" w:hAnsiTheme="minorHAnsi" w:cs="Times New Roman"/>
                <w:color w:val="000000"/>
                <w:lang w:eastAsia="en-AU"/>
              </w:rPr>
              <w:t>00</w:t>
            </w:r>
            <w:r w:rsidR="00EB790B" w:rsidRPr="00982373">
              <w:rPr>
                <w:rFonts w:asciiTheme="minorHAnsi" w:eastAsia="Times New Roman" w:hAnsiTheme="minorHAnsi" w:cs="Times New Roman"/>
                <w:color w:val="000000"/>
                <w:lang w:eastAsia="en-AU"/>
              </w:rPr>
              <w:t xml:space="preserve"> rooms</w:t>
            </w:r>
          </w:p>
        </w:tc>
        <w:tc>
          <w:tcPr>
            <w:tcW w:w="3116" w:type="dxa"/>
          </w:tcPr>
          <w:p w14:paraId="262EE657" w14:textId="65CCAA20" w:rsidR="00EB790B" w:rsidRPr="00982373" w:rsidRDefault="00DC4C46" w:rsidP="00FB0A9E">
            <w:pPr>
              <w:spacing w:before="120" w:after="120" w:line="300" w:lineRule="atLeast"/>
              <w:jc w:val="center"/>
              <w:rPr>
                <w:rFonts w:asciiTheme="minorHAnsi" w:hAnsiTheme="minorHAnsi"/>
              </w:rPr>
            </w:pPr>
            <w:r w:rsidRPr="00982373">
              <w:rPr>
                <w:rFonts w:asciiTheme="minorHAnsi" w:hAnsiTheme="minorHAnsi"/>
              </w:rPr>
              <w:t>Change from 2022</w:t>
            </w:r>
            <w:r w:rsidR="0039522C">
              <w:rPr>
                <w:rFonts w:asciiTheme="minorHAnsi" w:hAnsiTheme="minorHAnsi"/>
              </w:rPr>
              <w:t>–</w:t>
            </w:r>
            <w:r w:rsidRPr="00982373">
              <w:rPr>
                <w:rFonts w:asciiTheme="minorHAnsi" w:hAnsiTheme="minorHAnsi"/>
              </w:rPr>
              <w:t>23</w:t>
            </w:r>
            <w:r w:rsidR="00EB790B" w:rsidRPr="00982373">
              <w:rPr>
                <w:rFonts w:asciiTheme="minorHAnsi" w:hAnsiTheme="minorHAnsi"/>
              </w:rPr>
              <w:t xml:space="preserve">: </w:t>
            </w:r>
          </w:p>
          <w:p w14:paraId="70474EC0" w14:textId="20DF0190" w:rsidR="00EB790B" w:rsidRPr="00982373" w:rsidRDefault="00EB790B" w:rsidP="00FB0A9E">
            <w:pPr>
              <w:spacing w:before="120" w:after="120" w:line="300" w:lineRule="atLeast"/>
              <w:jc w:val="center"/>
              <w:rPr>
                <w:rFonts w:asciiTheme="minorHAnsi" w:hAnsiTheme="minorHAnsi"/>
              </w:rPr>
            </w:pPr>
            <w:r w:rsidRPr="00982373">
              <w:rPr>
                <w:rFonts w:asciiTheme="minorHAnsi" w:eastAsia="Times New Roman" w:hAnsiTheme="minorHAnsi" w:cs="Times New Roman"/>
                <w:color w:val="000000"/>
                <w:lang w:eastAsia="en-AU"/>
              </w:rPr>
              <w:t>Up $</w:t>
            </w:r>
            <w:r w:rsidR="00E40FB4" w:rsidRPr="00982373">
              <w:rPr>
                <w:rFonts w:asciiTheme="minorHAnsi" w:eastAsia="Times New Roman" w:hAnsiTheme="minorHAnsi" w:cs="Times New Roman"/>
                <w:color w:val="000000"/>
                <w:lang w:eastAsia="en-AU"/>
              </w:rPr>
              <w:t>12.</w:t>
            </w:r>
            <w:r w:rsidR="00CC0E38" w:rsidRPr="00982373">
              <w:rPr>
                <w:rFonts w:asciiTheme="minorHAnsi" w:eastAsia="Times New Roman" w:hAnsiTheme="minorHAnsi" w:cs="Times New Roman"/>
                <w:color w:val="000000"/>
                <w:lang w:eastAsia="en-AU"/>
              </w:rPr>
              <w:t>3</w:t>
            </w:r>
            <w:r w:rsidRPr="00982373">
              <w:rPr>
                <w:rFonts w:asciiTheme="minorHAnsi" w:eastAsia="Times New Roman" w:hAnsiTheme="minorHAnsi" w:cs="Times New Roman"/>
                <w:color w:val="000000"/>
                <w:lang w:eastAsia="en-AU"/>
              </w:rPr>
              <w:t xml:space="preserve"> billion</w:t>
            </w:r>
            <w:r w:rsidRPr="00982373">
              <w:rPr>
                <w:rFonts w:asciiTheme="minorHAnsi" w:hAnsiTheme="minorHAnsi"/>
              </w:rPr>
              <w:t xml:space="preserve"> </w:t>
            </w:r>
          </w:p>
          <w:p w14:paraId="7AA50FF6" w14:textId="1B1B914F" w:rsidR="00EB790B" w:rsidRPr="00982373" w:rsidRDefault="00EB790B" w:rsidP="00FB0A9E">
            <w:pPr>
              <w:spacing w:before="120" w:after="120" w:line="300" w:lineRule="atLeast"/>
              <w:jc w:val="center"/>
              <w:rPr>
                <w:rFonts w:asciiTheme="minorHAnsi" w:eastAsia="Times New Roman" w:hAnsiTheme="minorHAnsi" w:cs="Times New Roman"/>
                <w:color w:val="000000"/>
                <w:lang w:eastAsia="en-AU"/>
              </w:rPr>
            </w:pPr>
            <w:r w:rsidRPr="00982373">
              <w:rPr>
                <w:rFonts w:asciiTheme="minorHAnsi" w:eastAsia="Times New Roman" w:hAnsiTheme="minorHAnsi" w:cs="Times New Roman"/>
                <w:color w:val="000000"/>
                <w:lang w:eastAsia="en-AU"/>
              </w:rPr>
              <w:t xml:space="preserve">Up </w:t>
            </w:r>
            <w:r w:rsidR="00E40FB4" w:rsidRPr="00982373">
              <w:rPr>
                <w:rFonts w:asciiTheme="minorHAnsi" w:eastAsia="Times New Roman" w:hAnsiTheme="minorHAnsi" w:cs="Times New Roman"/>
                <w:color w:val="000000"/>
                <w:lang w:eastAsia="en-AU"/>
              </w:rPr>
              <w:t>2</w:t>
            </w:r>
            <w:r w:rsidR="007540A6" w:rsidRPr="00982373">
              <w:rPr>
                <w:rFonts w:asciiTheme="minorHAnsi" w:eastAsia="Times New Roman" w:hAnsiTheme="minorHAnsi" w:cs="Times New Roman"/>
                <w:color w:val="000000"/>
                <w:lang w:eastAsia="en-AU"/>
              </w:rPr>
              <w:t>0</w:t>
            </w:r>
            <w:r w:rsidRPr="00982373">
              <w:rPr>
                <w:rFonts w:asciiTheme="minorHAnsi" w:eastAsia="Times New Roman" w:hAnsiTheme="minorHAnsi" w:cs="Times New Roman"/>
                <w:color w:val="000000"/>
                <w:lang w:eastAsia="en-AU"/>
              </w:rPr>
              <w:t xml:space="preserve"> projects</w:t>
            </w:r>
          </w:p>
          <w:p w14:paraId="29624615" w14:textId="46DEF16E" w:rsidR="00EB790B" w:rsidRPr="00982373" w:rsidRDefault="00EB790B" w:rsidP="00FB0A9E">
            <w:pPr>
              <w:spacing w:before="120" w:after="120" w:line="300" w:lineRule="atLeast"/>
              <w:jc w:val="center"/>
              <w:rPr>
                <w:rFonts w:asciiTheme="minorHAnsi" w:hAnsiTheme="minorHAnsi"/>
              </w:rPr>
            </w:pPr>
            <w:r w:rsidRPr="00982373">
              <w:rPr>
                <w:rFonts w:asciiTheme="minorHAnsi" w:hAnsiTheme="minorHAnsi"/>
              </w:rPr>
              <w:t xml:space="preserve">Up </w:t>
            </w:r>
            <w:r w:rsidR="009824FA" w:rsidRPr="00982373">
              <w:rPr>
                <w:rFonts w:asciiTheme="minorHAnsi" w:hAnsiTheme="minorHAnsi"/>
              </w:rPr>
              <w:t>3,</w:t>
            </w:r>
            <w:r w:rsidR="006F0A07" w:rsidRPr="00982373">
              <w:rPr>
                <w:rFonts w:asciiTheme="minorHAnsi" w:hAnsiTheme="minorHAnsi"/>
              </w:rPr>
              <w:t>1</w:t>
            </w:r>
            <w:r w:rsidR="009824FA" w:rsidRPr="00982373">
              <w:rPr>
                <w:rFonts w:asciiTheme="minorHAnsi" w:hAnsiTheme="minorHAnsi"/>
              </w:rPr>
              <w:t>00</w:t>
            </w:r>
            <w:r w:rsidRPr="00982373">
              <w:rPr>
                <w:rFonts w:asciiTheme="minorHAnsi" w:eastAsia="Times New Roman" w:hAnsiTheme="minorHAnsi" w:cs="Times New Roman"/>
                <w:color w:val="000000"/>
                <w:lang w:eastAsia="en-AU"/>
              </w:rPr>
              <w:t xml:space="preserve"> rooms</w:t>
            </w:r>
          </w:p>
        </w:tc>
        <w:tc>
          <w:tcPr>
            <w:tcW w:w="3117" w:type="dxa"/>
          </w:tcPr>
          <w:p w14:paraId="3A2754E4" w14:textId="6CFC891B" w:rsidR="00EB790B" w:rsidRPr="00982373" w:rsidRDefault="00EB790B" w:rsidP="00FB0A9E">
            <w:pPr>
              <w:spacing w:before="120" w:after="120" w:line="300" w:lineRule="atLeast"/>
              <w:jc w:val="center"/>
              <w:rPr>
                <w:rFonts w:asciiTheme="minorHAnsi" w:hAnsiTheme="minorHAnsi"/>
              </w:rPr>
            </w:pPr>
            <w:r w:rsidRPr="00982373">
              <w:rPr>
                <w:rFonts w:asciiTheme="minorHAnsi" w:hAnsiTheme="minorHAnsi"/>
              </w:rPr>
              <w:t>Change from 202</w:t>
            </w:r>
            <w:r w:rsidR="00DC4C46" w:rsidRPr="00982373">
              <w:rPr>
                <w:rFonts w:asciiTheme="minorHAnsi" w:hAnsiTheme="minorHAnsi"/>
              </w:rPr>
              <w:t>2</w:t>
            </w:r>
            <w:r w:rsidR="0039522C">
              <w:rPr>
                <w:rFonts w:asciiTheme="minorHAnsi" w:hAnsiTheme="minorHAnsi"/>
              </w:rPr>
              <w:t>–</w:t>
            </w:r>
            <w:r w:rsidRPr="00982373">
              <w:rPr>
                <w:rFonts w:asciiTheme="minorHAnsi" w:hAnsiTheme="minorHAnsi"/>
              </w:rPr>
              <w:t>2</w:t>
            </w:r>
            <w:r w:rsidR="00DC4C46" w:rsidRPr="00982373">
              <w:rPr>
                <w:rFonts w:asciiTheme="minorHAnsi" w:hAnsiTheme="minorHAnsi"/>
              </w:rPr>
              <w:t>3</w:t>
            </w:r>
            <w:r w:rsidRPr="00982373">
              <w:rPr>
                <w:rFonts w:asciiTheme="minorHAnsi" w:hAnsiTheme="minorHAnsi"/>
              </w:rPr>
              <w:t xml:space="preserve">: </w:t>
            </w:r>
          </w:p>
          <w:p w14:paraId="11F090B0" w14:textId="234B49F8" w:rsidR="00EB790B" w:rsidRPr="00982373" w:rsidRDefault="00982373" w:rsidP="00FB0A9E">
            <w:pPr>
              <w:spacing w:before="120" w:after="120" w:line="300" w:lineRule="atLeast"/>
              <w:jc w:val="center"/>
              <w:rPr>
                <w:rFonts w:asciiTheme="minorHAnsi" w:hAnsiTheme="minorHAnsi"/>
              </w:rPr>
            </w:pPr>
            <w:r w:rsidRPr="00982373">
              <w:rPr>
                <w:rFonts w:asciiTheme="minorHAnsi" w:hAnsiTheme="minorHAnsi"/>
                <w:color w:val="000000"/>
              </w:rPr>
              <w:t>Equal</w:t>
            </w:r>
          </w:p>
          <w:p w14:paraId="54EB6BF4" w14:textId="5F329CDE" w:rsidR="00EB790B" w:rsidRPr="00982373" w:rsidRDefault="00DC4C46" w:rsidP="00FB0A9E">
            <w:pPr>
              <w:spacing w:before="120" w:after="120" w:line="300" w:lineRule="atLeast"/>
              <w:jc w:val="center"/>
              <w:rPr>
                <w:rFonts w:asciiTheme="minorHAnsi" w:hAnsiTheme="minorHAnsi"/>
                <w:color w:val="000000"/>
              </w:rPr>
            </w:pPr>
            <w:r w:rsidRPr="00982373">
              <w:rPr>
                <w:rFonts w:asciiTheme="minorHAnsi" w:hAnsiTheme="minorHAnsi"/>
                <w:color w:val="000000"/>
              </w:rPr>
              <w:t xml:space="preserve">Down </w:t>
            </w:r>
            <w:r w:rsidR="00DF50A3" w:rsidRPr="00982373">
              <w:rPr>
                <w:rFonts w:asciiTheme="minorHAnsi" w:hAnsiTheme="minorHAnsi"/>
                <w:color w:val="000000"/>
              </w:rPr>
              <w:t>3</w:t>
            </w:r>
            <w:r w:rsidR="00EB790B" w:rsidRPr="00982373">
              <w:rPr>
                <w:rFonts w:asciiTheme="minorHAnsi" w:hAnsiTheme="minorHAnsi"/>
                <w:color w:val="000000"/>
              </w:rPr>
              <w:t xml:space="preserve"> projects</w:t>
            </w:r>
          </w:p>
          <w:p w14:paraId="66995C6F" w14:textId="20659ACE" w:rsidR="00EB790B" w:rsidRPr="00982373" w:rsidRDefault="00EB790B" w:rsidP="00FB0A9E">
            <w:pPr>
              <w:spacing w:before="120" w:after="120" w:line="300" w:lineRule="atLeast"/>
              <w:jc w:val="center"/>
              <w:rPr>
                <w:rFonts w:asciiTheme="minorHAnsi" w:hAnsiTheme="minorHAnsi"/>
                <w:lang w:eastAsia="en-AU"/>
              </w:rPr>
            </w:pPr>
            <w:r w:rsidRPr="00982373">
              <w:rPr>
                <w:rFonts w:asciiTheme="minorHAnsi" w:eastAsia="Times New Roman" w:hAnsiTheme="minorHAnsi" w:cs="Times New Roman"/>
                <w:color w:val="000000"/>
                <w:lang w:eastAsia="en-AU"/>
              </w:rPr>
              <w:t xml:space="preserve">Down </w:t>
            </w:r>
            <w:r w:rsidR="00DC4C46" w:rsidRPr="00982373">
              <w:rPr>
                <w:rFonts w:asciiTheme="minorHAnsi" w:eastAsia="Times New Roman" w:hAnsiTheme="minorHAnsi" w:cs="Times New Roman"/>
                <w:color w:val="000000"/>
                <w:lang w:eastAsia="en-AU"/>
              </w:rPr>
              <w:t>4</w:t>
            </w:r>
            <w:r w:rsidRPr="00982373">
              <w:rPr>
                <w:rFonts w:asciiTheme="minorHAnsi" w:eastAsia="Times New Roman" w:hAnsiTheme="minorHAnsi" w:cs="Times New Roman"/>
                <w:color w:val="000000"/>
                <w:lang w:eastAsia="en-AU"/>
              </w:rPr>
              <w:t>00 rooms</w:t>
            </w:r>
            <w:r w:rsidRPr="00982373">
              <w:rPr>
                <w:rFonts w:asciiTheme="minorHAnsi" w:hAnsiTheme="minorHAnsi"/>
                <w:lang w:eastAsia="en-AU"/>
              </w:rPr>
              <w:t xml:space="preserve"> </w:t>
            </w:r>
          </w:p>
        </w:tc>
      </w:tr>
      <w:bookmarkEnd w:id="169"/>
      <w:bookmarkEnd w:id="170"/>
    </w:tbl>
    <w:p w14:paraId="2B4D6310" w14:textId="77777777" w:rsidR="00C741A5" w:rsidRDefault="00C741A5" w:rsidP="00C54493">
      <w:pPr>
        <w:autoSpaceDE w:val="0"/>
        <w:autoSpaceDN w:val="0"/>
        <w:adjustRightInd w:val="0"/>
      </w:pPr>
    </w:p>
    <w:p w14:paraId="11DEA17A" w14:textId="11314C6B" w:rsidR="00EB790B" w:rsidRPr="00C43D5B" w:rsidRDefault="00EB790B" w:rsidP="00C54493">
      <w:pPr>
        <w:autoSpaceDE w:val="0"/>
        <w:autoSpaceDN w:val="0"/>
        <w:adjustRightInd w:val="0"/>
      </w:pPr>
      <w:r w:rsidRPr="00C43D5B">
        <w:t>Mixed</w:t>
      </w:r>
      <w:r w:rsidR="0039522C">
        <w:t>–</w:t>
      </w:r>
      <w:r w:rsidRPr="00C43D5B">
        <w:t>use developments offer developers an option to diversify their investment and have been</w:t>
      </w:r>
      <w:r w:rsidR="006F0A07">
        <w:t xml:space="preserve"> grow</w:t>
      </w:r>
      <w:r w:rsidR="002407AD">
        <w:t>ing</w:t>
      </w:r>
      <w:r w:rsidR="006F0A07">
        <w:t xml:space="preserve"> year on year. </w:t>
      </w:r>
      <w:r w:rsidRPr="00C43D5B">
        <w:t>Each mixed</w:t>
      </w:r>
      <w:r w:rsidR="0039522C">
        <w:t>–</w:t>
      </w:r>
      <w:r w:rsidRPr="00C43D5B">
        <w:t xml:space="preserve">use development </w:t>
      </w:r>
      <w:r w:rsidR="00F324E5">
        <w:t>included</w:t>
      </w:r>
      <w:r w:rsidRPr="00C43D5B">
        <w:t xml:space="preserve"> in this report contributes to building capacity in the visitor economy</w:t>
      </w:r>
      <w:r w:rsidR="005E7E74" w:rsidRPr="00C43D5B">
        <w:t xml:space="preserve"> in some way</w:t>
      </w:r>
      <w:r w:rsidR="00357CA8">
        <w:t>:</w:t>
      </w:r>
      <w:r w:rsidR="00C54493">
        <w:t xml:space="preserve"> </w:t>
      </w:r>
      <w:r w:rsidR="00357CA8">
        <w:t>f</w:t>
      </w:r>
      <w:r w:rsidRPr="00C43D5B">
        <w:t>or a development to be classified as mixed</w:t>
      </w:r>
      <w:r w:rsidR="0039522C">
        <w:t>–</w:t>
      </w:r>
      <w:r w:rsidRPr="00C43D5B">
        <w:t xml:space="preserve">use, it needs to </w:t>
      </w:r>
      <w:r w:rsidRPr="00C43D5B" w:rsidDel="00B87A56">
        <w:t>have</w:t>
      </w:r>
      <w:r w:rsidRPr="00C43D5B">
        <w:t>:</w:t>
      </w:r>
    </w:p>
    <w:p w14:paraId="24E56F35" w14:textId="6C5BAB59" w:rsidR="00EB790B" w:rsidRPr="00C43D5B" w:rsidRDefault="00EB790B" w:rsidP="00A9784D">
      <w:pPr>
        <w:pStyle w:val="BulletList"/>
      </w:pPr>
      <w:r w:rsidRPr="00C43D5B">
        <w:t xml:space="preserve">a hotel component </w:t>
      </w:r>
      <w:r w:rsidR="0031236F">
        <w:t>and</w:t>
      </w:r>
      <w:r w:rsidR="001935D9">
        <w:t>,</w:t>
      </w:r>
    </w:p>
    <w:p w14:paraId="10E80C57" w14:textId="77777777" w:rsidR="00EB790B" w:rsidRPr="007A11C5" w:rsidRDefault="00EB790B" w:rsidP="00A9784D">
      <w:pPr>
        <w:pStyle w:val="BulletList"/>
      </w:pPr>
      <w:r w:rsidRPr="00C43D5B">
        <w:t xml:space="preserve">another aspect, which can include residential, commercial or leisure space, which is not </w:t>
      </w:r>
      <w:r w:rsidRPr="007A11C5">
        <w:t xml:space="preserve">specifically associated with tourism. </w:t>
      </w:r>
    </w:p>
    <w:p w14:paraId="795A3D26" w14:textId="74D1A2D7" w:rsidR="00FF3126" w:rsidRPr="00013AE2" w:rsidRDefault="00EB790B" w:rsidP="0059689C">
      <w:r w:rsidRPr="007A11C5">
        <w:t>In 202</w:t>
      </w:r>
      <w:r w:rsidR="008D1B2E">
        <w:t>3</w:t>
      </w:r>
      <w:r w:rsidRPr="007A11C5">
        <w:t>–2</w:t>
      </w:r>
      <w:r w:rsidR="008D1B2E">
        <w:t>4</w:t>
      </w:r>
      <w:r w:rsidRPr="007A11C5">
        <w:t xml:space="preserve"> there were </w:t>
      </w:r>
      <w:r w:rsidR="002E264E" w:rsidRPr="002E264E">
        <w:t>1</w:t>
      </w:r>
      <w:r w:rsidR="008F6197" w:rsidRPr="007A11C5">
        <w:t>9</w:t>
      </w:r>
      <w:r w:rsidR="001D38E4">
        <w:t>1</w:t>
      </w:r>
      <w:r w:rsidRPr="007A11C5">
        <w:t xml:space="preserve"> mixed</w:t>
      </w:r>
      <w:r w:rsidR="0039522C">
        <w:t>–</w:t>
      </w:r>
      <w:r w:rsidRPr="007A11C5">
        <w:t>use projects valued at $</w:t>
      </w:r>
      <w:r w:rsidR="007A11C5" w:rsidRPr="007A11C5">
        <w:t>85.</w:t>
      </w:r>
      <w:r w:rsidR="001B4908">
        <w:t>3</w:t>
      </w:r>
      <w:r w:rsidRPr="007A11C5">
        <w:t> billion (Figure 8),</w:t>
      </w:r>
      <w:r w:rsidRPr="007A11C5" w:rsidDel="00B87A56">
        <w:t xml:space="preserve"> </w:t>
      </w:r>
      <w:r w:rsidRPr="007A11C5">
        <w:t>with the p</w:t>
      </w:r>
      <w:r w:rsidRPr="002342FB">
        <w:t xml:space="preserve">otential to add </w:t>
      </w:r>
      <w:r w:rsidR="007A11C5" w:rsidRPr="002342FB">
        <w:t>30,</w:t>
      </w:r>
      <w:r w:rsidR="001B4908">
        <w:t>2</w:t>
      </w:r>
      <w:r w:rsidR="007A11C5" w:rsidRPr="002342FB">
        <w:t>00</w:t>
      </w:r>
      <w:r w:rsidRPr="002342FB">
        <w:t xml:space="preserve"> rooms. </w:t>
      </w:r>
      <w:r w:rsidRPr="00013AE2">
        <w:t>This is a $</w:t>
      </w:r>
      <w:r w:rsidR="002342FB" w:rsidRPr="00013AE2">
        <w:t>12.</w:t>
      </w:r>
      <w:r w:rsidR="00982373" w:rsidRPr="00013AE2">
        <w:t>3</w:t>
      </w:r>
      <w:r w:rsidRPr="00013AE2">
        <w:t xml:space="preserve"> billion increase in the value of the mixed</w:t>
      </w:r>
      <w:r w:rsidR="0039522C">
        <w:t>–</w:t>
      </w:r>
      <w:r w:rsidRPr="00013AE2">
        <w:t xml:space="preserve">use </w:t>
      </w:r>
      <w:r w:rsidRPr="00013AE2">
        <w:lastRenderedPageBreak/>
        <w:t>pipeline compared with 202</w:t>
      </w:r>
      <w:r w:rsidR="009345B5" w:rsidRPr="00013AE2">
        <w:t>2</w:t>
      </w:r>
      <w:r w:rsidR="0039522C">
        <w:t>–</w:t>
      </w:r>
      <w:r w:rsidRPr="00013AE2">
        <w:t>2</w:t>
      </w:r>
      <w:r w:rsidR="009345B5" w:rsidRPr="00013AE2">
        <w:t>3</w:t>
      </w:r>
      <w:r w:rsidRPr="00013AE2">
        <w:t>.</w:t>
      </w:r>
      <w:r w:rsidR="00FF3126" w:rsidRPr="00013AE2">
        <w:t xml:space="preserve"> Overall,</w:t>
      </w:r>
      <w:r w:rsidR="00B730F4" w:rsidRPr="00013AE2">
        <w:t xml:space="preserve"> there has been an increase in</w:t>
      </w:r>
      <w:r w:rsidR="00FF3126" w:rsidRPr="00013AE2">
        <w:t xml:space="preserve"> the potential number of rooms by </w:t>
      </w:r>
      <w:r w:rsidR="002342FB" w:rsidRPr="00013AE2">
        <w:t>2,700</w:t>
      </w:r>
      <w:r w:rsidR="00FF3126" w:rsidRPr="00013AE2">
        <w:t xml:space="preserve">. </w:t>
      </w:r>
      <w:r w:rsidR="00013AE2" w:rsidRPr="00013AE2">
        <w:t>This has all occurred in capital cities.</w:t>
      </w:r>
      <w:r w:rsidR="00FF3126" w:rsidRPr="00013AE2">
        <w:t xml:space="preserve"> In regional areas, there has been a decline </w:t>
      </w:r>
      <w:r w:rsidR="00BD0B6C" w:rsidRPr="00013AE2">
        <w:t>in project numbers resulting in a decrease of 400 potential rooms</w:t>
      </w:r>
      <w:r w:rsidR="004454E0" w:rsidRPr="00013AE2">
        <w:t xml:space="preserve"> due to the completion of two projects </w:t>
      </w:r>
      <w:r w:rsidR="009062E6" w:rsidRPr="00013AE2">
        <w:t>i</w:t>
      </w:r>
      <w:r w:rsidR="004454E0" w:rsidRPr="00013AE2">
        <w:t xml:space="preserve">n regional Australia, with no </w:t>
      </w:r>
      <w:r w:rsidR="00B0164B" w:rsidRPr="00013AE2">
        <w:t>additional projects added to the pipeline</w:t>
      </w:r>
      <w:r w:rsidR="009062E6" w:rsidRPr="00013AE2">
        <w:t xml:space="preserve"> in 2023</w:t>
      </w:r>
      <w:r w:rsidR="0039522C">
        <w:t>–</w:t>
      </w:r>
      <w:r w:rsidR="009062E6" w:rsidRPr="00013AE2">
        <w:t>24</w:t>
      </w:r>
      <w:r w:rsidR="00BD0B6C" w:rsidRPr="00013AE2">
        <w:t>.</w:t>
      </w:r>
      <w:r w:rsidR="00BD0B6C" w:rsidRPr="002342FB">
        <w:t xml:space="preserve"> </w:t>
      </w:r>
    </w:p>
    <w:p w14:paraId="625A5203" w14:textId="77777777" w:rsidR="00EB790B" w:rsidRPr="00CE4220" w:rsidRDefault="00EB790B" w:rsidP="00EB790B">
      <w:pPr>
        <w:pStyle w:val="Heading3"/>
      </w:pPr>
      <w:bookmarkStart w:id="171" w:name="_Toc95805119"/>
      <w:bookmarkStart w:id="172" w:name="_Toc95899360"/>
      <w:bookmarkStart w:id="173" w:name="_Toc126933053"/>
      <w:bookmarkStart w:id="174" w:name="_Toc126933937"/>
      <w:bookmarkStart w:id="175" w:name="_Toc1087647406"/>
      <w:bookmarkStart w:id="176" w:name="_Toc188024245"/>
      <w:bookmarkStart w:id="177" w:name="_Toc189145281"/>
      <w:bookmarkStart w:id="178" w:name="_Toc190084780"/>
      <w:r w:rsidRPr="00CE4220">
        <w:t>Breakdown by project phase</w:t>
      </w:r>
      <w:bookmarkEnd w:id="171"/>
      <w:bookmarkEnd w:id="172"/>
      <w:bookmarkEnd w:id="173"/>
      <w:bookmarkEnd w:id="174"/>
      <w:bookmarkEnd w:id="175"/>
      <w:bookmarkEnd w:id="176"/>
      <w:bookmarkEnd w:id="177"/>
      <w:bookmarkEnd w:id="178"/>
    </w:p>
    <w:p w14:paraId="3E0925D7" w14:textId="07CF6314" w:rsidR="00EB790B" w:rsidRPr="00CE4220" w:rsidRDefault="00EB790B" w:rsidP="00EB790B">
      <w:r w:rsidRPr="00CE4220">
        <w:t xml:space="preserve">In </w:t>
      </w:r>
      <w:r w:rsidR="007E3F7A" w:rsidRPr="00CE4220">
        <w:t>2023</w:t>
      </w:r>
      <w:r w:rsidR="0039522C">
        <w:t>–</w:t>
      </w:r>
      <w:r w:rsidR="007E3F7A" w:rsidRPr="00CE4220">
        <w:t>24</w:t>
      </w:r>
      <w:r w:rsidRPr="00CE4220">
        <w:t>, there were:</w:t>
      </w:r>
    </w:p>
    <w:p w14:paraId="7FFD8065" w14:textId="5CADECCB" w:rsidR="00EB790B" w:rsidRPr="00CE4220" w:rsidRDefault="0079642A" w:rsidP="00FB0A9E">
      <w:pPr>
        <w:pStyle w:val="BulletList"/>
      </w:pPr>
      <w:r w:rsidRPr="00CE4220">
        <w:t>42</w:t>
      </w:r>
      <w:r w:rsidR="00EB790B" w:rsidRPr="00CE4220">
        <w:t xml:space="preserve"> mixed</w:t>
      </w:r>
      <w:r w:rsidR="0039522C">
        <w:t>–</w:t>
      </w:r>
      <w:r w:rsidR="00EB790B" w:rsidRPr="00CE4220">
        <w:t xml:space="preserve">use projects </w:t>
      </w:r>
      <w:r w:rsidR="00EB790B" w:rsidRPr="00CE4220">
        <w:rPr>
          <w:b/>
          <w:bCs/>
        </w:rPr>
        <w:t>under construction</w:t>
      </w:r>
      <w:r w:rsidR="00EB790B" w:rsidRPr="00CE4220">
        <w:t>, valued at $</w:t>
      </w:r>
      <w:r w:rsidR="006147EB" w:rsidRPr="00CE4220">
        <w:t>25.8</w:t>
      </w:r>
      <w:r w:rsidR="00EB790B" w:rsidRPr="00CE4220">
        <w:t xml:space="preserve"> billion, adding </w:t>
      </w:r>
      <w:r w:rsidR="007C7AC4" w:rsidRPr="00CE4220">
        <w:t>7,</w:t>
      </w:r>
      <w:r w:rsidR="006147EB" w:rsidRPr="00CE4220">
        <w:t>4</w:t>
      </w:r>
      <w:r w:rsidR="007C7AC4" w:rsidRPr="00CE4220">
        <w:t>00</w:t>
      </w:r>
      <w:r w:rsidR="00EB790B" w:rsidRPr="00CE4220">
        <w:t xml:space="preserve"> rooms </w:t>
      </w:r>
    </w:p>
    <w:p w14:paraId="3B3393FC" w14:textId="61076813" w:rsidR="00EB790B" w:rsidRPr="00F05ABE" w:rsidRDefault="002E264E" w:rsidP="00FB0A9E">
      <w:pPr>
        <w:pStyle w:val="BulletList"/>
      </w:pPr>
      <w:r w:rsidRPr="002E264E">
        <w:t>1</w:t>
      </w:r>
      <w:r w:rsidR="00562175" w:rsidRPr="00F05ABE">
        <w:t>2</w:t>
      </w:r>
      <w:r w:rsidR="00EA022F">
        <w:t>7</w:t>
      </w:r>
      <w:r w:rsidR="00EB790B" w:rsidRPr="00F05ABE">
        <w:t xml:space="preserve"> projects in the </w:t>
      </w:r>
      <w:r w:rsidR="00EB790B" w:rsidRPr="00F05ABE">
        <w:rPr>
          <w:b/>
          <w:bCs/>
        </w:rPr>
        <w:t>planning</w:t>
      </w:r>
      <w:r w:rsidR="00EB790B" w:rsidRPr="00F05ABE">
        <w:t xml:space="preserve"> phase, valued at $</w:t>
      </w:r>
      <w:r w:rsidR="001C705A" w:rsidRPr="00F05ABE">
        <w:t>5</w:t>
      </w:r>
      <w:r w:rsidR="00EA022F">
        <w:t>3.8</w:t>
      </w:r>
      <w:r w:rsidR="00EB790B" w:rsidRPr="00F05ABE">
        <w:t xml:space="preserve"> billion, </w:t>
      </w:r>
      <w:r w:rsidR="0051333F">
        <w:t>adding</w:t>
      </w:r>
      <w:r w:rsidR="00EB790B" w:rsidRPr="00F05ABE">
        <w:t xml:space="preserve"> </w:t>
      </w:r>
      <w:r w:rsidRPr="002E264E">
        <w:t>1</w:t>
      </w:r>
      <w:r w:rsidR="007A797E">
        <w:t>8,9</w:t>
      </w:r>
      <w:r w:rsidR="007C7AC4" w:rsidRPr="00F05ABE">
        <w:t>00</w:t>
      </w:r>
      <w:r w:rsidR="00EB790B" w:rsidRPr="00F05ABE">
        <w:t> rooms</w:t>
      </w:r>
    </w:p>
    <w:p w14:paraId="44C0F699" w14:textId="5DBC7399" w:rsidR="00EB790B" w:rsidRPr="00F05ABE" w:rsidRDefault="00562175" w:rsidP="00FB0A9E">
      <w:pPr>
        <w:pStyle w:val="BulletList"/>
      </w:pPr>
      <w:r w:rsidRPr="00F05ABE">
        <w:t>22</w:t>
      </w:r>
      <w:r w:rsidR="00EB790B" w:rsidRPr="00F05ABE">
        <w:t xml:space="preserve"> </w:t>
      </w:r>
      <w:r w:rsidR="00EB790B" w:rsidRPr="00F05ABE">
        <w:rPr>
          <w:b/>
          <w:bCs/>
        </w:rPr>
        <w:t>proposed</w:t>
      </w:r>
      <w:r w:rsidR="00EB790B" w:rsidRPr="00F05ABE">
        <w:t xml:space="preserve"> projects, valued at $</w:t>
      </w:r>
      <w:r w:rsidR="001063CD" w:rsidRPr="00F05ABE">
        <w:t>5.</w:t>
      </w:r>
      <w:r w:rsidR="000462B3" w:rsidRPr="00F05ABE">
        <w:t>7</w:t>
      </w:r>
      <w:r w:rsidR="00EB790B" w:rsidRPr="00F05ABE">
        <w:t xml:space="preserve"> billion, adding </w:t>
      </w:r>
      <w:r w:rsidR="001063CD" w:rsidRPr="00F05ABE">
        <w:t>3</w:t>
      </w:r>
      <w:r w:rsidR="00EB790B" w:rsidRPr="00F05ABE">
        <w:t>,</w:t>
      </w:r>
      <w:r w:rsidR="001063CD" w:rsidRPr="00F05ABE">
        <w:t>800</w:t>
      </w:r>
      <w:r w:rsidR="00EB790B" w:rsidRPr="00F05ABE">
        <w:t xml:space="preserve"> rooms.</w:t>
      </w:r>
    </w:p>
    <w:p w14:paraId="43DEF9B9" w14:textId="26CC7EB1" w:rsidR="00EB790B" w:rsidRPr="00F05ABE" w:rsidRDefault="00C12237" w:rsidP="0059689C">
      <w:r>
        <w:t>There were</w:t>
      </w:r>
      <w:r w:rsidR="00EB790B" w:rsidRPr="00F05ABE">
        <w:t xml:space="preserve"> </w:t>
      </w:r>
      <w:r w:rsidR="00DA5F92" w:rsidRPr="00F05ABE">
        <w:t>5</w:t>
      </w:r>
      <w:r w:rsidR="004C16BA">
        <w:t>1</w:t>
      </w:r>
      <w:r w:rsidR="00EB790B" w:rsidRPr="00F05ABE">
        <w:t xml:space="preserve"> new </w:t>
      </w:r>
      <w:r>
        <w:t>mixed</w:t>
      </w:r>
      <w:r w:rsidR="0039522C">
        <w:t>–</w:t>
      </w:r>
      <w:r>
        <w:t xml:space="preserve">use </w:t>
      </w:r>
      <w:r w:rsidR="00EB790B" w:rsidRPr="00F05ABE">
        <w:t xml:space="preserve">projects </w:t>
      </w:r>
      <w:r>
        <w:t xml:space="preserve">added to the </w:t>
      </w:r>
      <w:r w:rsidR="00EC4C30">
        <w:t xml:space="preserve">pipeline </w:t>
      </w:r>
      <w:r w:rsidR="00EB790B" w:rsidRPr="00F05ABE">
        <w:t>worth $</w:t>
      </w:r>
      <w:r w:rsidR="004C16BA">
        <w:t>17.</w:t>
      </w:r>
      <w:r w:rsidR="006261D6">
        <w:t>8</w:t>
      </w:r>
      <w:r w:rsidR="00EB790B" w:rsidRPr="00F05ABE">
        <w:t xml:space="preserve"> billion with the potential to add 7,</w:t>
      </w:r>
      <w:r w:rsidR="00FB79C0">
        <w:t>0</w:t>
      </w:r>
      <w:r w:rsidR="00EB790B" w:rsidRPr="00F05ABE">
        <w:t>00 additional rooms to tourism accommodation supply.</w:t>
      </w:r>
    </w:p>
    <w:p w14:paraId="2CF1ECA1" w14:textId="3E1BD3F4" w:rsidR="00EB790B" w:rsidRPr="002F33D4" w:rsidRDefault="00EB790B" w:rsidP="0059689C">
      <w:r w:rsidRPr="002F33D4">
        <w:t xml:space="preserve">There were </w:t>
      </w:r>
      <w:r w:rsidR="009F48C2" w:rsidRPr="002F33D4">
        <w:t>6</w:t>
      </w:r>
      <w:r w:rsidRPr="002F33D4">
        <w:t xml:space="preserve"> projects completed in </w:t>
      </w:r>
      <w:r w:rsidR="007E3F7A" w:rsidRPr="002F33D4">
        <w:t>2023</w:t>
      </w:r>
      <w:r w:rsidR="0039522C">
        <w:t>–</w:t>
      </w:r>
      <w:r w:rsidR="007E3F7A" w:rsidRPr="002F33D4">
        <w:t>24</w:t>
      </w:r>
      <w:r w:rsidR="002E74A3" w:rsidRPr="002F33D4">
        <w:t xml:space="preserve">, predominately in NSW. </w:t>
      </w:r>
      <w:r w:rsidRPr="002F33D4">
        <w:t>These projects were valued at $</w:t>
      </w:r>
      <w:r w:rsidR="002E74A3" w:rsidRPr="002F33D4">
        <w:t>1.6</w:t>
      </w:r>
      <w:r w:rsidRPr="002F33D4">
        <w:t xml:space="preserve"> billion and introduced 1,</w:t>
      </w:r>
      <w:r w:rsidR="004A76CD" w:rsidRPr="002F33D4">
        <w:t>4</w:t>
      </w:r>
      <w:r w:rsidRPr="002F33D4">
        <w:t>00 rooms to Australia’s accommodation room supply.</w:t>
      </w:r>
    </w:p>
    <w:p w14:paraId="580FA1DF" w14:textId="146D4F7C" w:rsidR="00EB790B" w:rsidRPr="00310252" w:rsidRDefault="00EB790B" w:rsidP="00EB790B">
      <w:pPr>
        <w:pStyle w:val="Caption"/>
        <w:keepNext/>
        <w:spacing w:before="360" w:line="300" w:lineRule="atLeast"/>
        <w:rPr>
          <w:i w:val="0"/>
          <w:iCs w:val="0"/>
          <w:sz w:val="20"/>
          <w:szCs w:val="20"/>
        </w:rPr>
      </w:pPr>
      <w:r w:rsidRPr="00D351C8">
        <w:rPr>
          <w:b/>
          <w:i w:val="0"/>
          <w:sz w:val="20"/>
          <w:szCs w:val="20"/>
        </w:rPr>
        <w:t>Figure 8:</w:t>
      </w:r>
      <w:r w:rsidRPr="00D351C8">
        <w:rPr>
          <w:i w:val="0"/>
          <w:sz w:val="20"/>
          <w:szCs w:val="20"/>
        </w:rPr>
        <w:t xml:space="preserve"> Mixed</w:t>
      </w:r>
      <w:r w:rsidR="0039522C">
        <w:rPr>
          <w:i w:val="0"/>
          <w:sz w:val="20"/>
          <w:szCs w:val="20"/>
        </w:rPr>
        <w:t>–</w:t>
      </w:r>
      <w:r w:rsidRPr="00D351C8">
        <w:rPr>
          <w:i w:val="0"/>
          <w:sz w:val="20"/>
          <w:szCs w:val="20"/>
        </w:rPr>
        <w:t xml:space="preserve">use pipeline in Australia in </w:t>
      </w:r>
      <w:r w:rsidR="007E3F7A" w:rsidRPr="00D351C8">
        <w:rPr>
          <w:i w:val="0"/>
          <w:sz w:val="20"/>
          <w:szCs w:val="20"/>
        </w:rPr>
        <w:t>2023</w:t>
      </w:r>
      <w:r w:rsidR="0039522C">
        <w:rPr>
          <w:i w:val="0"/>
          <w:sz w:val="20"/>
          <w:szCs w:val="20"/>
        </w:rPr>
        <w:t>–</w:t>
      </w:r>
      <w:r w:rsidR="007E3F7A" w:rsidRPr="00D351C8">
        <w:rPr>
          <w:i w:val="0"/>
          <w:sz w:val="20"/>
          <w:szCs w:val="20"/>
        </w:rPr>
        <w:t>24</w:t>
      </w:r>
      <w:r w:rsidRPr="00D351C8">
        <w:rPr>
          <w:i w:val="0"/>
          <w:sz w:val="20"/>
          <w:szCs w:val="20"/>
        </w:rPr>
        <w:t>.</w:t>
      </w:r>
    </w:p>
    <w:p w14:paraId="6AC1C97E" w14:textId="67B33C26" w:rsidR="00EB790B" w:rsidRPr="00CD1584" w:rsidRDefault="00C1508E" w:rsidP="00EB790B">
      <w:pPr>
        <w:spacing w:line="300" w:lineRule="atLeast"/>
        <w:rPr>
          <w:highlight w:val="yellow"/>
          <w:lang w:eastAsia="zh-CN"/>
        </w:rPr>
      </w:pPr>
      <w:r>
        <w:rPr>
          <w:noProof/>
        </w:rPr>
        <w:drawing>
          <wp:inline distT="0" distB="0" distL="0" distR="0" wp14:anchorId="19D02D36" wp14:editId="2AA2EE5F">
            <wp:extent cx="6329680" cy="2368550"/>
            <wp:effectExtent l="0" t="0" r="13970" b="12700"/>
            <wp:docPr id="307486935" name="Chart 1" descr="Figure 8 shows the value of the mixed-use pipeline by project phase for 2023-24. It also shows the breakdown of projects by location in the capital or regional areas. The dominant share of projects under construction and in the proposed phase are in capital areas.&#10;">
              <a:extLst xmlns:a="http://schemas.openxmlformats.org/drawingml/2006/main">
                <a:ext uri="{FF2B5EF4-FFF2-40B4-BE49-F238E27FC236}">
                  <a16:creationId xmlns:a16="http://schemas.microsoft.com/office/drawing/2014/main" id="{26189CAB-BEF0-4CC2-8710-2B421FEF2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7C7E3E4" w14:textId="77777777" w:rsidR="00EB790B" w:rsidRPr="00857C0D" w:rsidRDefault="00EB790B" w:rsidP="001D014A">
      <w:pPr>
        <w:pStyle w:val="Heading3"/>
        <w:spacing w:before="360" w:line="300" w:lineRule="atLeast"/>
      </w:pPr>
      <w:bookmarkStart w:id="179" w:name="_Toc95805118"/>
      <w:bookmarkStart w:id="180" w:name="_Toc95899361"/>
      <w:bookmarkStart w:id="181" w:name="_Toc126933054"/>
      <w:bookmarkStart w:id="182" w:name="_Toc126933938"/>
      <w:bookmarkStart w:id="183" w:name="_Toc1459428127"/>
      <w:bookmarkStart w:id="184" w:name="_Toc188024246"/>
      <w:bookmarkStart w:id="185" w:name="_Toc189145282"/>
      <w:bookmarkStart w:id="186" w:name="_Toc190084781"/>
      <w:bookmarkStart w:id="187" w:name="_Toc95805120"/>
      <w:r w:rsidRPr="00857C0D">
        <w:t>Breakdown by location</w:t>
      </w:r>
      <w:bookmarkEnd w:id="179"/>
      <w:bookmarkEnd w:id="180"/>
      <w:bookmarkEnd w:id="181"/>
      <w:bookmarkEnd w:id="182"/>
      <w:bookmarkEnd w:id="183"/>
      <w:bookmarkEnd w:id="184"/>
      <w:bookmarkEnd w:id="185"/>
      <w:bookmarkEnd w:id="186"/>
    </w:p>
    <w:p w14:paraId="26DAEEA5" w14:textId="6F6B91C0" w:rsidR="00526D61" w:rsidRPr="00857C0D" w:rsidRDefault="00EB790B" w:rsidP="00EB790B">
      <w:r w:rsidRPr="00857C0D">
        <w:t>Mixed</w:t>
      </w:r>
      <w:r w:rsidR="0039522C">
        <w:t>–</w:t>
      </w:r>
      <w:r w:rsidRPr="00857C0D">
        <w:t xml:space="preserve">use developments have historically been more popular in capital city locations. </w:t>
      </w:r>
      <w:r w:rsidR="004F4FED" w:rsidRPr="00857C0D">
        <w:t>T</w:t>
      </w:r>
      <w:r w:rsidRPr="00857C0D">
        <w:t xml:space="preserve">hree quarters </w:t>
      </w:r>
      <w:r w:rsidR="00C92F08" w:rsidRPr="00857C0D">
        <w:t>(</w:t>
      </w:r>
      <w:r w:rsidR="002E264E" w:rsidRPr="002E264E">
        <w:t>1</w:t>
      </w:r>
      <w:r w:rsidR="00854619">
        <w:t>44</w:t>
      </w:r>
      <w:r w:rsidR="00CE0CE9" w:rsidRPr="00857C0D">
        <w:t xml:space="preserve"> projects</w:t>
      </w:r>
      <w:r w:rsidR="00C92F08" w:rsidRPr="00857C0D">
        <w:t>)</w:t>
      </w:r>
      <w:r w:rsidRPr="00857C0D">
        <w:t xml:space="preserve"> of mixed</w:t>
      </w:r>
      <w:r w:rsidR="0039522C">
        <w:t>–</w:t>
      </w:r>
      <w:r w:rsidRPr="00857C0D">
        <w:t xml:space="preserve">use projects in </w:t>
      </w:r>
      <w:r w:rsidR="007E3F7A" w:rsidRPr="00857C0D">
        <w:t>2023</w:t>
      </w:r>
      <w:r w:rsidR="0039522C">
        <w:t>–</w:t>
      </w:r>
      <w:r w:rsidR="007E3F7A" w:rsidRPr="00857C0D">
        <w:t>24</w:t>
      </w:r>
      <w:r w:rsidRPr="00857C0D">
        <w:t xml:space="preserve"> were in the capital cities. </w:t>
      </w:r>
    </w:p>
    <w:p w14:paraId="7952975E" w14:textId="76877134" w:rsidR="00D226D7" w:rsidRPr="00735391" w:rsidRDefault="00EB790B" w:rsidP="00A9784D">
      <w:pPr>
        <w:pStyle w:val="BulletList"/>
      </w:pPr>
      <w:r w:rsidRPr="00857C0D">
        <w:t xml:space="preserve">Sydney </w:t>
      </w:r>
      <w:r w:rsidR="00C00E7A" w:rsidRPr="00857C0D">
        <w:t>–</w:t>
      </w:r>
      <w:r w:rsidR="00266314" w:rsidRPr="00857C0D">
        <w:t xml:space="preserve"> </w:t>
      </w:r>
      <w:r w:rsidR="006C7156" w:rsidRPr="00857C0D">
        <w:t>44</w:t>
      </w:r>
      <w:r w:rsidRPr="00857C0D">
        <w:t xml:space="preserve"> projects</w:t>
      </w:r>
      <w:r w:rsidRPr="00735391">
        <w:t xml:space="preserve"> valued at $</w:t>
      </w:r>
      <w:r w:rsidR="006C7156" w:rsidRPr="00735391">
        <w:t>14.5</w:t>
      </w:r>
      <w:r w:rsidRPr="00735391">
        <w:t xml:space="preserve"> billion </w:t>
      </w:r>
      <w:r w:rsidR="004B08A7">
        <w:t xml:space="preserve">and </w:t>
      </w:r>
      <w:r w:rsidR="00E736CA">
        <w:t>6,900 rooms</w:t>
      </w:r>
    </w:p>
    <w:p w14:paraId="59A64830" w14:textId="167185FF" w:rsidR="00D226D7" w:rsidRPr="00735391" w:rsidRDefault="00EB790B" w:rsidP="00A9784D">
      <w:pPr>
        <w:pStyle w:val="BulletList"/>
      </w:pPr>
      <w:r w:rsidRPr="00735391">
        <w:t>Melbourne</w:t>
      </w:r>
      <w:r w:rsidR="00C00E7A" w:rsidRPr="00735391">
        <w:t xml:space="preserve"> –</w:t>
      </w:r>
      <w:r w:rsidR="000079D7" w:rsidRPr="00735391">
        <w:t xml:space="preserve"> 38</w:t>
      </w:r>
      <w:r w:rsidR="00C00E7A" w:rsidRPr="00735391">
        <w:t xml:space="preserve"> </w:t>
      </w:r>
      <w:r w:rsidRPr="00735391">
        <w:t>projects valued at $</w:t>
      </w:r>
      <w:r w:rsidR="000079D7" w:rsidRPr="00735391">
        <w:t>21.8</w:t>
      </w:r>
      <w:r w:rsidRPr="00735391">
        <w:t xml:space="preserve"> billion </w:t>
      </w:r>
      <w:r w:rsidR="00E736CA">
        <w:t>and 7,000 rooms</w:t>
      </w:r>
    </w:p>
    <w:p w14:paraId="1A7E498B" w14:textId="625319C7" w:rsidR="00EB790B" w:rsidRPr="00A02774" w:rsidRDefault="00EB790B" w:rsidP="00A9784D">
      <w:pPr>
        <w:pStyle w:val="BulletList"/>
      </w:pPr>
      <w:r w:rsidRPr="00A02774">
        <w:t xml:space="preserve">Brisbane </w:t>
      </w:r>
      <w:r w:rsidR="003F3761">
        <w:t>and</w:t>
      </w:r>
      <w:r w:rsidRPr="00A02774">
        <w:t xml:space="preserve"> the Gold Coast</w:t>
      </w:r>
      <w:r w:rsidR="00D37230" w:rsidRPr="00A02774">
        <w:t xml:space="preserve"> – 3</w:t>
      </w:r>
      <w:r w:rsidR="002A45FC" w:rsidRPr="00A02774">
        <w:t>6</w:t>
      </w:r>
      <w:r w:rsidR="00D37230" w:rsidRPr="00A02774">
        <w:t xml:space="preserve"> </w:t>
      </w:r>
      <w:r w:rsidRPr="00A02774">
        <w:t>projects valued at $</w:t>
      </w:r>
      <w:r w:rsidR="00E66CD3" w:rsidRPr="00A02774">
        <w:t>31</w:t>
      </w:r>
      <w:r w:rsidR="00D37230" w:rsidRPr="00A02774">
        <w:t>.</w:t>
      </w:r>
      <w:r w:rsidR="00E66CD3" w:rsidRPr="00A02774">
        <w:t>0</w:t>
      </w:r>
      <w:r w:rsidRPr="00A02774">
        <w:t xml:space="preserve"> billion </w:t>
      </w:r>
      <w:r w:rsidR="00971882">
        <w:t>and 6,200 rooms</w:t>
      </w:r>
    </w:p>
    <w:p w14:paraId="105202D0" w14:textId="414D158B" w:rsidR="00512A18" w:rsidRPr="00F70E8F" w:rsidRDefault="00512A18" w:rsidP="00A9784D">
      <w:pPr>
        <w:pStyle w:val="BulletList"/>
      </w:pPr>
      <w:r w:rsidRPr="00A02774">
        <w:t>Perth – 10 projects valued at $</w:t>
      </w:r>
      <w:r w:rsidR="00B91539">
        <w:t>2.1</w:t>
      </w:r>
      <w:r w:rsidRPr="00A02774">
        <w:t xml:space="preserve"> billion</w:t>
      </w:r>
      <w:r w:rsidR="00971882">
        <w:t xml:space="preserve"> and 1</w:t>
      </w:r>
      <w:r w:rsidR="006D42B1">
        <w:t>,</w:t>
      </w:r>
      <w:r w:rsidR="00971882">
        <w:t xml:space="preserve">300 </w:t>
      </w:r>
      <w:r w:rsidR="00971882" w:rsidRPr="00F70E8F">
        <w:t>rooms</w:t>
      </w:r>
    </w:p>
    <w:p w14:paraId="43D2B2D7" w14:textId="77777777" w:rsidR="00717D1C" w:rsidRPr="0008279A" w:rsidRDefault="00717D1C" w:rsidP="00717D1C">
      <w:pPr>
        <w:pStyle w:val="BulletList"/>
      </w:pPr>
      <w:r w:rsidRPr="00F70E8F">
        <w:t>Canberra – 8</w:t>
      </w:r>
      <w:r w:rsidR="007D03D9" w:rsidRPr="00F70E8F">
        <w:t xml:space="preserve"> projects valued at </w:t>
      </w:r>
      <w:r w:rsidR="00220547" w:rsidRPr="00F70E8F">
        <w:t>1</w:t>
      </w:r>
      <w:r w:rsidRPr="00F70E8F">
        <w:t>.9</w:t>
      </w:r>
      <w:r w:rsidR="00220547" w:rsidRPr="00F70E8F">
        <w:t xml:space="preserve"> billion</w:t>
      </w:r>
      <w:r w:rsidR="00857C0D" w:rsidRPr="00F70E8F">
        <w:t xml:space="preserve"> and 1,</w:t>
      </w:r>
      <w:r w:rsidRPr="00F70E8F">
        <w:t>300</w:t>
      </w:r>
      <w:r>
        <w:t xml:space="preserve"> rooms</w:t>
      </w:r>
    </w:p>
    <w:p w14:paraId="6F4395B7" w14:textId="0523CD2F" w:rsidR="007D03D9" w:rsidRPr="00F70E8F" w:rsidRDefault="007D03D9" w:rsidP="00A9784D">
      <w:pPr>
        <w:pStyle w:val="BulletList"/>
      </w:pPr>
      <w:r w:rsidRPr="00F70E8F">
        <w:t xml:space="preserve">Adelaide – </w:t>
      </w:r>
      <w:r w:rsidR="00854619">
        <w:t>6</w:t>
      </w:r>
      <w:r w:rsidRPr="00F70E8F">
        <w:t xml:space="preserve"> projects valued at </w:t>
      </w:r>
      <w:r w:rsidR="0056261D">
        <w:t>$1.9</w:t>
      </w:r>
      <w:r w:rsidR="00220547" w:rsidRPr="00F70E8F">
        <w:t xml:space="preserve"> billion</w:t>
      </w:r>
      <w:r w:rsidR="00857C0D" w:rsidRPr="00F70E8F">
        <w:t xml:space="preserve"> and </w:t>
      </w:r>
      <w:r w:rsidR="004A2F3A">
        <w:t>95</w:t>
      </w:r>
      <w:r w:rsidR="00717D1C">
        <w:t>0</w:t>
      </w:r>
      <w:r w:rsidR="00857C0D" w:rsidRPr="00F70E8F">
        <w:t xml:space="preserve"> rooms</w:t>
      </w:r>
    </w:p>
    <w:p w14:paraId="5AA25E3D" w14:textId="7FC8648C" w:rsidR="00220547" w:rsidRPr="00857C0D" w:rsidRDefault="0059471C" w:rsidP="00A9784D">
      <w:pPr>
        <w:pStyle w:val="BulletList"/>
      </w:pPr>
      <w:r w:rsidRPr="00857C0D">
        <w:t>Hobart – 1 project valued at $0.1 billion</w:t>
      </w:r>
      <w:r w:rsidR="006D42B1" w:rsidRPr="00857C0D">
        <w:t xml:space="preserve"> and 100 rooms</w:t>
      </w:r>
    </w:p>
    <w:p w14:paraId="69A29ED3" w14:textId="368A490C" w:rsidR="0059471C" w:rsidRPr="00857C0D" w:rsidRDefault="00A6546F" w:rsidP="00A9784D">
      <w:pPr>
        <w:pStyle w:val="BulletList"/>
      </w:pPr>
      <w:r w:rsidRPr="00857C0D">
        <w:t>Darwin – 1 project valued at $0.25 billion</w:t>
      </w:r>
      <w:r w:rsidR="00857C0D" w:rsidRPr="00857C0D">
        <w:t xml:space="preserve"> (unsure of room total). </w:t>
      </w:r>
    </w:p>
    <w:p w14:paraId="50045FA0" w14:textId="77777777" w:rsidR="00E74961" w:rsidRPr="00CD1584" w:rsidRDefault="00E74961" w:rsidP="00E74961">
      <w:pPr>
        <w:pStyle w:val="ListBullet"/>
        <w:numPr>
          <w:ilvl w:val="0"/>
          <w:numId w:val="0"/>
        </w:numPr>
        <w:spacing w:after="200" w:line="300" w:lineRule="exact"/>
        <w:ind w:left="284" w:hanging="284"/>
        <w:contextualSpacing/>
        <w:rPr>
          <w:highlight w:val="yellow"/>
        </w:rPr>
      </w:pPr>
    </w:p>
    <w:p w14:paraId="53D7E15A" w14:textId="77777777" w:rsidR="00501C5A" w:rsidRPr="0019702E" w:rsidRDefault="00501C5A" w:rsidP="00396E43">
      <w:pPr>
        <w:pStyle w:val="ListBullet"/>
        <w:numPr>
          <w:ilvl w:val="0"/>
          <w:numId w:val="0"/>
        </w:numPr>
        <w:spacing w:after="200" w:line="300" w:lineRule="exact"/>
        <w:ind w:left="284"/>
        <w:contextualSpacing/>
      </w:pPr>
    </w:p>
    <w:p w14:paraId="79D8174F" w14:textId="28EC4CD7" w:rsidR="00EB790B" w:rsidRPr="00C43D5B" w:rsidRDefault="00EB790B" w:rsidP="00EB790B">
      <w:r w:rsidRPr="00C43D5B">
        <w:lastRenderedPageBreak/>
        <w:t>Some key mixed</w:t>
      </w:r>
      <w:r w:rsidR="0039522C">
        <w:t>–</w:t>
      </w:r>
      <w:r w:rsidRPr="00C43D5B">
        <w:t xml:space="preserve">use developments under construction in capital cities </w:t>
      </w:r>
      <w:r w:rsidR="00DD1923">
        <w:t>in 2023</w:t>
      </w:r>
      <w:r w:rsidR="0039522C">
        <w:t>–</w:t>
      </w:r>
      <w:r w:rsidR="00DD1923">
        <w:t xml:space="preserve">24 </w:t>
      </w:r>
      <w:r w:rsidRPr="00C43D5B">
        <w:t>included:</w:t>
      </w:r>
    </w:p>
    <w:p w14:paraId="3746FE39" w14:textId="77777777" w:rsidR="00EC5FB7" w:rsidRPr="0019702E" w:rsidRDefault="00EC5FB7" w:rsidP="00EC5FB7">
      <w:pPr>
        <w:pStyle w:val="BulletList"/>
      </w:pPr>
      <w:r w:rsidRPr="0019702E">
        <w:t>Queen’s Wharf Brisbane – $3.6 billion and 1,027 rooms</w:t>
      </w:r>
    </w:p>
    <w:p w14:paraId="7EC6A649" w14:textId="77777777" w:rsidR="00EB790B" w:rsidRPr="00C43D5B" w:rsidRDefault="00EB790B" w:rsidP="00A9784D">
      <w:pPr>
        <w:pStyle w:val="BulletList"/>
      </w:pPr>
      <w:r w:rsidRPr="00C43D5B">
        <w:t>Waldorf Astoria at Circular Quay – $3.1 billion and 220 rooms</w:t>
      </w:r>
    </w:p>
    <w:p w14:paraId="0D460DDA" w14:textId="5568EAD8" w:rsidR="00EB790B" w:rsidRDefault="00EB790B" w:rsidP="00A9784D">
      <w:pPr>
        <w:pStyle w:val="BulletList"/>
      </w:pPr>
      <w:r w:rsidRPr="00C43D5B">
        <w:t>Four Seasons Hotel Melbourne – $2.7 billion and 210 rooms</w:t>
      </w:r>
    </w:p>
    <w:p w14:paraId="03ACE6E3" w14:textId="7988E2A9" w:rsidR="00894F87" w:rsidRPr="00A03F71" w:rsidRDefault="00DD4AA0" w:rsidP="00DC0ECB">
      <w:pPr>
        <w:pStyle w:val="BulletList"/>
      </w:pPr>
      <w:r>
        <w:t xml:space="preserve">Eagle Street Pier “Waterfront Brisbane” </w:t>
      </w:r>
      <w:r w:rsidR="0039522C">
        <w:t>–</w:t>
      </w:r>
      <w:r>
        <w:t xml:space="preserve"> $2.5 billion </w:t>
      </w:r>
      <w:r w:rsidR="00DD1923">
        <w:t>(unsure of room total)</w:t>
      </w:r>
    </w:p>
    <w:p w14:paraId="7488FF65" w14:textId="2D658392" w:rsidR="00EB790B" w:rsidRPr="00A03F71" w:rsidRDefault="00EB790B" w:rsidP="00EB790B">
      <w:pPr>
        <w:spacing w:before="120"/>
      </w:pPr>
      <w:r w:rsidRPr="00A03F71">
        <w:t xml:space="preserve">In </w:t>
      </w:r>
      <w:r w:rsidR="007E3F7A" w:rsidRPr="00A03F71">
        <w:t>2023</w:t>
      </w:r>
      <w:r w:rsidR="0039522C">
        <w:t>–</w:t>
      </w:r>
      <w:r w:rsidR="007E3F7A" w:rsidRPr="00A03F71">
        <w:t>24</w:t>
      </w:r>
      <w:r w:rsidRPr="00A03F71">
        <w:t xml:space="preserve">, there were also </w:t>
      </w:r>
      <w:r w:rsidR="007C0147" w:rsidRPr="00A03F71">
        <w:t>4</w:t>
      </w:r>
      <w:r w:rsidR="00780705">
        <w:t>7</w:t>
      </w:r>
      <w:r w:rsidRPr="00A03F71">
        <w:t xml:space="preserve"> regional mixed</w:t>
      </w:r>
      <w:r w:rsidR="0039522C">
        <w:t>–</w:t>
      </w:r>
      <w:r w:rsidRPr="00A03F71">
        <w:t>use developments valued at $11.</w:t>
      </w:r>
      <w:r w:rsidR="00780705">
        <w:t>7</w:t>
      </w:r>
      <w:r w:rsidRPr="00A03F71">
        <w:t xml:space="preserve"> billion with the capacity to add 6,</w:t>
      </w:r>
      <w:r w:rsidR="003955F9" w:rsidRPr="00A03F71">
        <w:t>4</w:t>
      </w:r>
      <w:r w:rsidRPr="00A03F71">
        <w:t xml:space="preserve">00 rooms. </w:t>
      </w:r>
      <w:r w:rsidR="000228A7">
        <w:t>By State, this included:</w:t>
      </w:r>
    </w:p>
    <w:p w14:paraId="6797AC5A" w14:textId="3307A7ED" w:rsidR="00FC1667" w:rsidRPr="00A03F71" w:rsidRDefault="00FC1667" w:rsidP="00A9784D">
      <w:pPr>
        <w:pStyle w:val="BulletList"/>
      </w:pPr>
      <w:r w:rsidRPr="00A03F71">
        <w:t>Victoria – 9 projects worth $1.</w:t>
      </w:r>
      <w:r w:rsidR="00E14AC2" w:rsidRPr="00A03F71">
        <w:t>7</w:t>
      </w:r>
      <w:r w:rsidRPr="00A03F71">
        <w:t xml:space="preserve"> billion </w:t>
      </w:r>
      <w:r w:rsidR="00F22D2B" w:rsidRPr="00A03F71">
        <w:t>and 900 rooms</w:t>
      </w:r>
    </w:p>
    <w:p w14:paraId="40BBDF46" w14:textId="58A665B7" w:rsidR="00FC1667" w:rsidRPr="00A03F71" w:rsidRDefault="00FC1667" w:rsidP="00A9784D">
      <w:pPr>
        <w:pStyle w:val="BulletList"/>
      </w:pPr>
      <w:r w:rsidRPr="00A03F71">
        <w:t>Queensland – 14 projects worth $</w:t>
      </w:r>
      <w:r w:rsidR="00305D0B" w:rsidRPr="00A03F71">
        <w:t>4</w:t>
      </w:r>
      <w:r w:rsidRPr="00A03F71">
        <w:t xml:space="preserve">.9 billion </w:t>
      </w:r>
      <w:r w:rsidR="00F22D2B" w:rsidRPr="00A03F71">
        <w:t>and 3,200 rooms</w:t>
      </w:r>
    </w:p>
    <w:p w14:paraId="02714D76" w14:textId="0BA136AB" w:rsidR="00FC1667" w:rsidRPr="00A03F71" w:rsidRDefault="00FC1667" w:rsidP="00A9784D">
      <w:pPr>
        <w:pStyle w:val="BulletList"/>
      </w:pPr>
      <w:r w:rsidRPr="00A03F71">
        <w:t>New South Wales – 17 projects worth $</w:t>
      </w:r>
      <w:r w:rsidR="00A41412" w:rsidRPr="00A03F71">
        <w:t>4.</w:t>
      </w:r>
      <w:r w:rsidR="00BC6B95" w:rsidRPr="00A03F71">
        <w:t>4</w:t>
      </w:r>
      <w:r w:rsidRPr="00A03F71">
        <w:t xml:space="preserve"> billion </w:t>
      </w:r>
      <w:r w:rsidR="00BC6B95" w:rsidRPr="00A03F71">
        <w:t>and 1,700 rooms</w:t>
      </w:r>
    </w:p>
    <w:p w14:paraId="4FB550DA" w14:textId="3B435AD1" w:rsidR="00FC1667" w:rsidRPr="00F70E8F" w:rsidRDefault="00FC1667" w:rsidP="00A9784D">
      <w:pPr>
        <w:pStyle w:val="BulletList"/>
      </w:pPr>
      <w:r w:rsidRPr="00A03F71">
        <w:t>Tasmania – 3 projects worth $0.</w:t>
      </w:r>
      <w:r w:rsidR="00625B91" w:rsidRPr="00A03F71">
        <w:t>1</w:t>
      </w:r>
      <w:r w:rsidRPr="00A03F71">
        <w:t xml:space="preserve"> billion </w:t>
      </w:r>
      <w:r w:rsidR="00CB2658" w:rsidRPr="00A03F71">
        <w:t xml:space="preserve">and 300 </w:t>
      </w:r>
      <w:r w:rsidR="00CB2658" w:rsidRPr="00F70E8F">
        <w:t>rooms</w:t>
      </w:r>
    </w:p>
    <w:p w14:paraId="363F7429" w14:textId="77777777" w:rsidR="0013615B" w:rsidRPr="00254455" w:rsidRDefault="0013615B" w:rsidP="0013615B">
      <w:pPr>
        <w:pStyle w:val="BulletList"/>
      </w:pPr>
      <w:r w:rsidRPr="00F70E8F">
        <w:t>Western Australia – 3 projects worth $0.4 billion and 300</w:t>
      </w:r>
      <w:r>
        <w:t xml:space="preserve"> rooms</w:t>
      </w:r>
    </w:p>
    <w:p w14:paraId="79EBA2BF" w14:textId="4EE09C23" w:rsidR="00FC1667" w:rsidRPr="00F70E8F" w:rsidRDefault="00FC1667" w:rsidP="00A9784D">
      <w:pPr>
        <w:pStyle w:val="BulletList"/>
      </w:pPr>
      <w:r w:rsidRPr="00F70E8F">
        <w:t xml:space="preserve">South Australia – </w:t>
      </w:r>
      <w:r w:rsidR="007A54D8">
        <w:t>1</w:t>
      </w:r>
      <w:r w:rsidRPr="00F70E8F">
        <w:t xml:space="preserve"> project worth $0.</w:t>
      </w:r>
      <w:r w:rsidR="00717D1C">
        <w:t>04</w:t>
      </w:r>
      <w:r w:rsidRPr="00F70E8F">
        <w:t xml:space="preserve"> billion </w:t>
      </w:r>
      <w:r w:rsidR="00012F29" w:rsidRPr="00F70E8F">
        <w:t>and 50 rooms</w:t>
      </w:r>
    </w:p>
    <w:p w14:paraId="108E9C5E" w14:textId="70C1E2B2" w:rsidR="002259E3" w:rsidRPr="00254455" w:rsidRDefault="002259E3" w:rsidP="00EB790B">
      <w:pPr>
        <w:spacing w:before="120"/>
      </w:pPr>
      <w:r w:rsidRPr="00254455">
        <w:t xml:space="preserve">There were no </w:t>
      </w:r>
      <w:r w:rsidR="006A2561">
        <w:t xml:space="preserve">regional </w:t>
      </w:r>
      <w:r w:rsidR="001B51A0">
        <w:t>mixed</w:t>
      </w:r>
      <w:r w:rsidR="0039522C">
        <w:t>–</w:t>
      </w:r>
      <w:r w:rsidR="001B51A0">
        <w:t xml:space="preserve">use </w:t>
      </w:r>
      <w:r w:rsidRPr="00254455">
        <w:t xml:space="preserve">projects in Northern Territory or Australian Capital Territory. </w:t>
      </w:r>
    </w:p>
    <w:p w14:paraId="46BABEED" w14:textId="2190D9E2" w:rsidR="00EB790B" w:rsidRPr="0073187B" w:rsidRDefault="00EB790B" w:rsidP="00EB790B">
      <w:pPr>
        <w:spacing w:before="120"/>
      </w:pPr>
      <w:r w:rsidRPr="0073187B">
        <w:t>Some key mixed</w:t>
      </w:r>
      <w:r w:rsidR="0039522C">
        <w:t>–</w:t>
      </w:r>
      <w:r w:rsidRPr="0073187B">
        <w:t>use developments in regional Australia include:</w:t>
      </w:r>
    </w:p>
    <w:p w14:paraId="053B600B" w14:textId="1AA1FDFA" w:rsidR="00EB790B" w:rsidRPr="0073187B" w:rsidRDefault="00EB790B" w:rsidP="00A9784D">
      <w:pPr>
        <w:pStyle w:val="BulletList"/>
      </w:pPr>
      <w:r w:rsidRPr="0073187B">
        <w:t xml:space="preserve">Crowne Plaza Shell Cove Marina (in </w:t>
      </w:r>
      <w:r w:rsidR="00A31909" w:rsidRPr="0073187B">
        <w:t>construction</w:t>
      </w:r>
      <w:r w:rsidRPr="0073187B">
        <w:t xml:space="preserve">) </w:t>
      </w:r>
      <w:r w:rsidR="0039522C">
        <w:t>–</w:t>
      </w:r>
      <w:r w:rsidRPr="0073187B">
        <w:t xml:space="preserve"> $1.5 billion and 181 rooms</w:t>
      </w:r>
    </w:p>
    <w:p w14:paraId="4116BE4B" w14:textId="77777777" w:rsidR="00382C05" w:rsidRPr="0073187B" w:rsidRDefault="00382C05" w:rsidP="00A9784D">
      <w:pPr>
        <w:pStyle w:val="BulletList"/>
      </w:pPr>
      <w:r w:rsidRPr="0073187B">
        <w:t>Geelong East Shore Development (in planning) – $0.7 billion</w:t>
      </w:r>
    </w:p>
    <w:p w14:paraId="04C91988" w14:textId="35C4D6E8" w:rsidR="00D94399" w:rsidRPr="0073187B" w:rsidRDefault="00D94399" w:rsidP="00A9784D">
      <w:pPr>
        <w:pStyle w:val="BulletList"/>
      </w:pPr>
      <w:r w:rsidRPr="0073187B">
        <w:t>Pullman Trinity Point Resort</w:t>
      </w:r>
      <w:r w:rsidR="006D79EE">
        <w:t>, NSW</w:t>
      </w:r>
      <w:r w:rsidR="00E039FA" w:rsidRPr="0073187B">
        <w:t xml:space="preserve"> (in planning) </w:t>
      </w:r>
      <w:r w:rsidR="0039522C">
        <w:t>–</w:t>
      </w:r>
      <w:r w:rsidR="00E039FA" w:rsidRPr="0073187B">
        <w:t xml:space="preserve"> </w:t>
      </w:r>
      <w:r w:rsidR="008C1574" w:rsidRPr="0073187B">
        <w:t xml:space="preserve">$0.6 billion and </w:t>
      </w:r>
      <w:r w:rsidR="0073187B" w:rsidRPr="0073187B">
        <w:t>218 rooms</w:t>
      </w:r>
    </w:p>
    <w:p w14:paraId="685AB672" w14:textId="0A1327C9" w:rsidR="00EB790B" w:rsidRDefault="00462D91" w:rsidP="00A9784D">
      <w:pPr>
        <w:pStyle w:val="BulletList"/>
      </w:pPr>
      <w:r>
        <w:t>Voco Gosford</w:t>
      </w:r>
      <w:r w:rsidR="00194BD3">
        <w:t xml:space="preserve"> (under construction) – </w:t>
      </w:r>
      <w:r w:rsidR="006730B4">
        <w:t>$</w:t>
      </w:r>
      <w:r w:rsidR="00194BD3">
        <w:t>0.4 billion and 130 rooms</w:t>
      </w:r>
      <w:r w:rsidR="00EB790B" w:rsidRPr="0073187B">
        <w:t>.</w:t>
      </w:r>
    </w:p>
    <w:p w14:paraId="605F9711" w14:textId="77777777" w:rsidR="006A2561" w:rsidRPr="0073187B" w:rsidRDefault="006A2561" w:rsidP="006A2561">
      <w:pPr>
        <w:pStyle w:val="BulletList"/>
        <w:numPr>
          <w:ilvl w:val="0"/>
          <w:numId w:val="0"/>
        </w:numPr>
        <w:ind w:left="720"/>
      </w:pPr>
    </w:p>
    <w:p w14:paraId="4FD727F5" w14:textId="77777777" w:rsidR="00303118" w:rsidRPr="0073187B" w:rsidRDefault="00303118" w:rsidP="0041617E">
      <w:pPr>
        <w:pStyle w:val="BulletList"/>
        <w:numPr>
          <w:ilvl w:val="0"/>
          <w:numId w:val="0"/>
        </w:numPr>
      </w:pPr>
    </w:p>
    <w:p w14:paraId="260033A6" w14:textId="77777777" w:rsidR="00B3455B" w:rsidRDefault="00B3455B">
      <w:pPr>
        <w:rPr>
          <w:rFonts w:eastAsia="SimSun" w:cs="Times New Roman"/>
          <w:bCs/>
          <w:color w:val="7A4282" w:themeColor="accent1"/>
          <w:sz w:val="32"/>
          <w:szCs w:val="32"/>
          <w:lang w:eastAsia="zh-CN"/>
        </w:rPr>
      </w:pPr>
      <w:bookmarkStart w:id="188" w:name="_Toc126933055"/>
      <w:bookmarkStart w:id="189" w:name="_Toc126933939"/>
      <w:bookmarkStart w:id="190" w:name="_Toc1190867959"/>
      <w:bookmarkStart w:id="191" w:name="_Toc153782357"/>
      <w:r>
        <w:rPr>
          <w:color w:val="7A4282" w:themeColor="accent1"/>
          <w:szCs w:val="32"/>
        </w:rPr>
        <w:br w:type="page"/>
      </w:r>
    </w:p>
    <w:p w14:paraId="4477502B" w14:textId="306B78A6" w:rsidR="00EB790B" w:rsidRPr="00DD1088" w:rsidRDefault="00EB790B" w:rsidP="00EB790B">
      <w:pPr>
        <w:pStyle w:val="Heading2"/>
        <w:rPr>
          <w:b/>
          <w:color w:val="7A4282" w:themeColor="accent1"/>
          <w:szCs w:val="32"/>
        </w:rPr>
      </w:pPr>
      <w:bookmarkStart w:id="192" w:name="_Toc191539023"/>
      <w:r w:rsidRPr="00DD1088">
        <w:rPr>
          <w:color w:val="7A4282" w:themeColor="accent1"/>
          <w:szCs w:val="32"/>
        </w:rPr>
        <w:lastRenderedPageBreak/>
        <w:t>Methodology</w:t>
      </w:r>
      <w:bookmarkEnd w:id="187"/>
      <w:bookmarkEnd w:id="188"/>
      <w:bookmarkEnd w:id="189"/>
      <w:bookmarkEnd w:id="190"/>
      <w:bookmarkEnd w:id="191"/>
      <w:bookmarkEnd w:id="192"/>
    </w:p>
    <w:p w14:paraId="304B50BF" w14:textId="77777777" w:rsidR="00EB790B" w:rsidRPr="00DD1088" w:rsidRDefault="00EB790B" w:rsidP="00EB790B">
      <w:pPr>
        <w:pStyle w:val="Heading3"/>
      </w:pPr>
      <w:bookmarkStart w:id="193" w:name="_Toc95805121"/>
      <w:bookmarkStart w:id="194" w:name="_Toc95899363"/>
      <w:bookmarkStart w:id="195" w:name="_Toc126933056"/>
      <w:bookmarkStart w:id="196" w:name="_Toc126933940"/>
      <w:bookmarkStart w:id="197" w:name="_Toc1964396772"/>
      <w:bookmarkStart w:id="198" w:name="_Toc188024248"/>
      <w:bookmarkStart w:id="199" w:name="_Toc189145284"/>
      <w:bookmarkStart w:id="200" w:name="_Toc190084784"/>
      <w:r w:rsidRPr="00DD1088">
        <w:t>Project thresholds</w:t>
      </w:r>
      <w:bookmarkEnd w:id="193"/>
      <w:bookmarkEnd w:id="194"/>
      <w:bookmarkEnd w:id="195"/>
      <w:bookmarkEnd w:id="196"/>
      <w:bookmarkEnd w:id="197"/>
      <w:bookmarkEnd w:id="198"/>
      <w:bookmarkEnd w:id="199"/>
      <w:bookmarkEnd w:id="200"/>
    </w:p>
    <w:p w14:paraId="54658208" w14:textId="229D413B" w:rsidR="00EB790B" w:rsidRPr="00DD1088" w:rsidRDefault="00EB790B" w:rsidP="00EB790B">
      <w:r w:rsidRPr="00DD1088">
        <w:t>The primary threshold for projects considered in this report is $20 million or more. Projects in the pipeline are mostly new build</w:t>
      </w:r>
      <w:r w:rsidR="00481110">
        <w:t>s</w:t>
      </w:r>
      <w:r w:rsidRPr="00DD1088">
        <w:t xml:space="preserve">, but major renovation projects are also within scope. The project values and pipeline progression are as </w:t>
      </w:r>
      <w:r w:rsidR="00E91D39">
        <w:t>of</w:t>
      </w:r>
      <w:r w:rsidRPr="00DD1088">
        <w:t xml:space="preserve"> year ending June 202</w:t>
      </w:r>
      <w:r w:rsidR="008D2911" w:rsidRPr="00DD1088">
        <w:t>4</w:t>
      </w:r>
      <w:r w:rsidRPr="00DD1088">
        <w:t xml:space="preserve">. </w:t>
      </w:r>
    </w:p>
    <w:p w14:paraId="553A5428" w14:textId="77777777" w:rsidR="00EB790B" w:rsidRPr="00DD1088" w:rsidRDefault="00EB790B" w:rsidP="00EB790B">
      <w:r w:rsidRPr="00DD1088">
        <w:t>Note that:</w:t>
      </w:r>
    </w:p>
    <w:p w14:paraId="39BB67E9" w14:textId="7EF83D1F" w:rsidR="00EB790B" w:rsidRDefault="00C1698A" w:rsidP="008A0A90">
      <w:pPr>
        <w:pStyle w:val="BulletList"/>
      </w:pPr>
      <w:r>
        <w:t xml:space="preserve">While this report </w:t>
      </w:r>
      <w:r w:rsidRPr="00DD1088">
        <w:t>includes all known major investments</w:t>
      </w:r>
      <w:r>
        <w:t>, t</w:t>
      </w:r>
      <w:r w:rsidR="00EB790B" w:rsidRPr="00DD1088">
        <w:t>his is not an exhaustive list of current or potential development projects and does not account for all tourism investments.</w:t>
      </w:r>
    </w:p>
    <w:p w14:paraId="58ABC5FD" w14:textId="3E18CAB1" w:rsidR="006C335F" w:rsidRPr="00DD1088" w:rsidRDefault="006C335F" w:rsidP="008A0A90">
      <w:pPr>
        <w:pStyle w:val="BulletList"/>
      </w:pPr>
      <w:r>
        <w:t>There are some projects included in th</w:t>
      </w:r>
      <w:r w:rsidR="00733736">
        <w:t xml:space="preserve">is report and the tourism investment </w:t>
      </w:r>
      <w:r>
        <w:t>pipeline</w:t>
      </w:r>
      <w:r w:rsidR="00733736">
        <w:t xml:space="preserve"> for which the full investment value was unavailable. Therefore, the estimated total value of investment may understate the real value</w:t>
      </w:r>
      <w:r w:rsidR="00C03FED">
        <w:t xml:space="preserve">. Similarly, there are projects </w:t>
      </w:r>
      <w:r w:rsidR="002022AF">
        <w:t xml:space="preserve">included </w:t>
      </w:r>
      <w:r w:rsidR="00C03FED">
        <w:t xml:space="preserve">for which the total number of rooms under development is unavailable, and therefore the reported number of rooms added may also understate the </w:t>
      </w:r>
      <w:r w:rsidR="002022AF">
        <w:t>real number</w:t>
      </w:r>
      <w:r w:rsidR="00C03FED">
        <w:t>.</w:t>
      </w:r>
    </w:p>
    <w:p w14:paraId="658E2644" w14:textId="13E372CC" w:rsidR="00EB790B" w:rsidRPr="00DD1088" w:rsidRDefault="00EB790B" w:rsidP="008A0A90">
      <w:pPr>
        <w:pStyle w:val="BulletList"/>
      </w:pPr>
      <w:r w:rsidRPr="00DD1088">
        <w:t xml:space="preserve">The pipeline </w:t>
      </w:r>
      <w:r w:rsidR="0083200B">
        <w:t xml:space="preserve">total project and investment figures </w:t>
      </w:r>
      <w:r w:rsidRPr="00DD1088">
        <w:t>excludes mixed</w:t>
      </w:r>
      <w:r w:rsidR="0039522C">
        <w:t>–</w:t>
      </w:r>
      <w:r w:rsidRPr="00DD1088">
        <w:t xml:space="preserve">use developments. This is due to the </w:t>
      </w:r>
      <w:r w:rsidR="00810343">
        <w:t>variation</w:t>
      </w:r>
      <w:r w:rsidRPr="00DD1088">
        <w:t xml:space="preserve"> in value of these projects to the tourism sector</w:t>
      </w:r>
      <w:r w:rsidR="00FF6D77">
        <w:t>, per project</w:t>
      </w:r>
      <w:r w:rsidRPr="00DD1088">
        <w:t xml:space="preserve">. </w:t>
      </w:r>
      <w:r w:rsidR="006C1CB1">
        <w:t>However, given the value these projects contribute to the visitor economy, m</w:t>
      </w:r>
      <w:r w:rsidRPr="00DD1088">
        <w:t>ixed</w:t>
      </w:r>
      <w:r w:rsidR="0039522C">
        <w:t>–</w:t>
      </w:r>
      <w:r w:rsidRPr="00DD1088">
        <w:t>use developments are</w:t>
      </w:r>
      <w:r w:rsidR="006C1CB1">
        <w:t xml:space="preserve"> included, but</w:t>
      </w:r>
      <w:r w:rsidRPr="00DD1088">
        <w:t xml:space="preserve"> separately reported in this report.</w:t>
      </w:r>
    </w:p>
    <w:p w14:paraId="195EE9A1" w14:textId="5006E9B4" w:rsidR="00EB790B" w:rsidRPr="00DD1088" w:rsidRDefault="00EB790B" w:rsidP="008A0A90">
      <w:pPr>
        <w:pStyle w:val="BulletList"/>
      </w:pPr>
      <w:r w:rsidRPr="00DD1088">
        <w:t xml:space="preserve">Projects are categorised as either </w:t>
      </w:r>
      <w:r w:rsidR="006F3757">
        <w:t>accommodation</w:t>
      </w:r>
      <w:r w:rsidR="006F3757" w:rsidRPr="00DD1088">
        <w:t xml:space="preserve"> </w:t>
      </w:r>
      <w:r w:rsidRPr="00DD1088">
        <w:t>or mixed</w:t>
      </w:r>
      <w:r w:rsidR="0039522C">
        <w:t>–</w:t>
      </w:r>
      <w:r w:rsidRPr="00DD1088">
        <w:t>use based on market intelligence and key data sources available at the time.</w:t>
      </w:r>
      <w:r w:rsidR="006F3757">
        <w:t xml:space="preserve"> As such, b</w:t>
      </w:r>
      <w:r w:rsidR="008E6F20">
        <w:t>ased on the information available, s</w:t>
      </w:r>
      <w:r w:rsidRPr="00DD1088">
        <w:t>ome projects included in the accommodation investment pipeline may be part of a mixed</w:t>
      </w:r>
      <w:r w:rsidR="0039522C">
        <w:t>–</w:t>
      </w:r>
      <w:r w:rsidRPr="00DD1088">
        <w:t xml:space="preserve">use development. </w:t>
      </w:r>
    </w:p>
    <w:p w14:paraId="693580AE" w14:textId="77777777" w:rsidR="00EB790B" w:rsidRPr="00DD1088" w:rsidRDefault="00EB790B" w:rsidP="00EB790B">
      <w:pPr>
        <w:pStyle w:val="Heading3"/>
      </w:pPr>
      <w:bookmarkStart w:id="201" w:name="_Toc95805122"/>
      <w:bookmarkStart w:id="202" w:name="_Toc95899364"/>
      <w:bookmarkStart w:id="203" w:name="_Toc126933057"/>
      <w:bookmarkStart w:id="204" w:name="_Toc126933941"/>
      <w:bookmarkStart w:id="205" w:name="_Toc1616064537"/>
      <w:bookmarkStart w:id="206" w:name="_Toc188024249"/>
      <w:bookmarkStart w:id="207" w:name="_Toc189145285"/>
      <w:bookmarkStart w:id="208" w:name="_Toc190084785"/>
      <w:r w:rsidRPr="00DD1088">
        <w:t>Data sources</w:t>
      </w:r>
      <w:bookmarkEnd w:id="201"/>
      <w:bookmarkEnd w:id="202"/>
      <w:bookmarkEnd w:id="203"/>
      <w:bookmarkEnd w:id="204"/>
      <w:bookmarkEnd w:id="205"/>
      <w:bookmarkEnd w:id="206"/>
      <w:bookmarkEnd w:id="207"/>
      <w:bookmarkEnd w:id="208"/>
    </w:p>
    <w:p w14:paraId="44968015" w14:textId="2D1D588C" w:rsidR="00EB790B" w:rsidRPr="00DD1088" w:rsidRDefault="00EB790B" w:rsidP="00EB790B">
      <w:r w:rsidRPr="00DD1088">
        <w:t xml:space="preserve">Four </w:t>
      </w:r>
      <w:r w:rsidR="005E531E">
        <w:t xml:space="preserve">core </w:t>
      </w:r>
      <w:r w:rsidRPr="00DD1088">
        <w:t>data sources underpin this report. These are:</w:t>
      </w:r>
    </w:p>
    <w:p w14:paraId="5CBC7C8B" w14:textId="77777777" w:rsidR="00EB790B" w:rsidRPr="00DD1088" w:rsidRDefault="00EB790B" w:rsidP="008A0A90">
      <w:pPr>
        <w:pStyle w:val="BulletList"/>
      </w:pPr>
      <w:r w:rsidRPr="00DD1088">
        <w:t xml:space="preserve">Deloitte Access Economics’ (DAE) </w:t>
      </w:r>
      <w:r w:rsidRPr="00DD1088">
        <w:rPr>
          <w:i/>
          <w:iCs/>
        </w:rPr>
        <w:t>Investment Monitor</w:t>
      </w:r>
      <w:r w:rsidRPr="00DD1088">
        <w:t xml:space="preserve"> </w:t>
      </w:r>
    </w:p>
    <w:p w14:paraId="4602D54F" w14:textId="77777777" w:rsidR="00EB790B" w:rsidRPr="00DD1088" w:rsidRDefault="00EB790B" w:rsidP="008A0A90">
      <w:pPr>
        <w:pStyle w:val="BulletList"/>
      </w:pPr>
      <w:r w:rsidRPr="00DD1088">
        <w:t xml:space="preserve">STR Global Asia Pacific’s </w:t>
      </w:r>
      <w:r w:rsidRPr="00DD1088">
        <w:rPr>
          <w:i/>
          <w:iCs/>
        </w:rPr>
        <w:t>Pipeline Database</w:t>
      </w:r>
    </w:p>
    <w:p w14:paraId="75BE185B" w14:textId="77777777" w:rsidR="00EB790B" w:rsidRPr="00DD1088" w:rsidRDefault="00EB790B" w:rsidP="008A0A90">
      <w:pPr>
        <w:pStyle w:val="BulletList"/>
      </w:pPr>
      <w:r w:rsidRPr="00DD1088">
        <w:t xml:space="preserve">Australian Government and State Government Budget Papers </w:t>
      </w:r>
    </w:p>
    <w:p w14:paraId="18B9410A" w14:textId="77777777" w:rsidR="00EB790B" w:rsidRPr="00DD1088" w:rsidRDefault="00EB790B" w:rsidP="008A0A90">
      <w:pPr>
        <w:pStyle w:val="BulletList"/>
      </w:pPr>
      <w:r w:rsidRPr="00DD1088">
        <w:t>the investment authorities within state governments.</w:t>
      </w:r>
    </w:p>
    <w:p w14:paraId="1600D85B" w14:textId="27516C9E" w:rsidR="00EB790B" w:rsidRPr="00DD1088" w:rsidRDefault="00EB790B" w:rsidP="00EB790B">
      <w:pPr>
        <w:spacing w:before="120"/>
      </w:pPr>
      <w:r w:rsidRPr="00DD1088">
        <w:t xml:space="preserve">DAE’s </w:t>
      </w:r>
      <w:r w:rsidRPr="00DD1088">
        <w:rPr>
          <w:i/>
        </w:rPr>
        <w:t>Investment Monitor</w:t>
      </w:r>
      <w:r w:rsidRPr="00DD1088">
        <w:t xml:space="preserve"> details the total investment chain from pre</w:t>
      </w:r>
      <w:r w:rsidR="0039522C">
        <w:t>–</w:t>
      </w:r>
      <w:r w:rsidRPr="00DD1088">
        <w:t>approval through to completion. It covers many industries in five project phases:</w:t>
      </w:r>
    </w:p>
    <w:p w14:paraId="3978C59E" w14:textId="77777777" w:rsidR="00EB790B" w:rsidRPr="00DD1088" w:rsidRDefault="00EB790B" w:rsidP="008A0A90">
      <w:pPr>
        <w:pStyle w:val="BulletList"/>
      </w:pPr>
      <w:r w:rsidRPr="00DD1088">
        <w:t>possible: projects that have been announced, but no early decision has been made on whether to proceed</w:t>
      </w:r>
    </w:p>
    <w:p w14:paraId="69421ED4" w14:textId="77777777" w:rsidR="00EB790B" w:rsidRPr="00DD1088" w:rsidRDefault="00EB790B" w:rsidP="008A0A90">
      <w:pPr>
        <w:pStyle w:val="BulletList"/>
      </w:pPr>
      <w:r w:rsidRPr="00DD1088">
        <w:t>under consideration: a decision on whether to proceed is expected soon</w:t>
      </w:r>
    </w:p>
    <w:p w14:paraId="28A5A274" w14:textId="77777777" w:rsidR="00EB790B" w:rsidRPr="00DD1088" w:rsidRDefault="00EB790B" w:rsidP="008A0A90">
      <w:pPr>
        <w:pStyle w:val="BulletList"/>
      </w:pPr>
      <w:r w:rsidRPr="00DD1088">
        <w:t>committed: projects where a decision to proceed has been announced but construction has not yet started</w:t>
      </w:r>
    </w:p>
    <w:p w14:paraId="75560425" w14:textId="77777777" w:rsidR="00EB790B" w:rsidRPr="00DD1088" w:rsidRDefault="00EB790B" w:rsidP="008A0A90">
      <w:pPr>
        <w:pStyle w:val="BulletList"/>
      </w:pPr>
      <w:r w:rsidRPr="00DD1088">
        <w:t>under construction: where work has started on the project</w:t>
      </w:r>
    </w:p>
    <w:p w14:paraId="7FE9EEA2" w14:textId="77777777" w:rsidR="00EB790B" w:rsidRPr="00DD1088" w:rsidRDefault="00EB790B" w:rsidP="008A0A90">
      <w:pPr>
        <w:pStyle w:val="BulletList"/>
      </w:pPr>
      <w:r w:rsidRPr="00DD1088">
        <w:t>completed: project has been completed.</w:t>
      </w:r>
    </w:p>
    <w:p w14:paraId="4C74ABF8" w14:textId="7076CAB4" w:rsidR="00EB790B" w:rsidRPr="00DD1088" w:rsidRDefault="00EB790B" w:rsidP="00EB790B">
      <w:pPr>
        <w:spacing w:before="120"/>
      </w:pPr>
      <w:r w:rsidRPr="00DD1088">
        <w:t xml:space="preserve">Since 2021, DAE’s </w:t>
      </w:r>
      <w:r w:rsidRPr="00DD1088">
        <w:rPr>
          <w:i/>
        </w:rPr>
        <w:t>Investment Monitor</w:t>
      </w:r>
      <w:r w:rsidRPr="00DD1088">
        <w:t xml:space="preserve"> only lists individual projects worth $50 million or more and excludes land costs. It does not include the number of rooms to be built in specific accommodation and mixed</w:t>
      </w:r>
      <w:r w:rsidR="0039522C">
        <w:t>–</w:t>
      </w:r>
      <w:r w:rsidRPr="00DD1088">
        <w:t>use investments.</w:t>
      </w:r>
    </w:p>
    <w:p w14:paraId="32F63152" w14:textId="1AF6253D" w:rsidR="00EB790B" w:rsidRPr="00DD1088" w:rsidRDefault="00EB790B" w:rsidP="00EB790B">
      <w:r w:rsidRPr="00DD1088">
        <w:lastRenderedPageBreak/>
        <w:t xml:space="preserve">STR Global Asia Pacific’s </w:t>
      </w:r>
      <w:r w:rsidRPr="00DD1088">
        <w:rPr>
          <w:i/>
        </w:rPr>
        <w:t>Pipeline Database</w:t>
      </w:r>
      <w:r w:rsidRPr="00DD1088">
        <w:t xml:space="preserve"> provides a summary of the number of hotel and resort pipeline </w:t>
      </w:r>
      <w:r w:rsidR="00FD1089" w:rsidRPr="00DD1088">
        <w:t>projects and</w:t>
      </w:r>
      <w:r w:rsidRPr="00DD1088">
        <w:t xml:space="preserve"> recently opened hotels. It also provides the number of existing hotels to give a picture of current and future supply within Australia. The database details the investment pipeline chain in five project stages:</w:t>
      </w:r>
    </w:p>
    <w:p w14:paraId="29CEE3AB" w14:textId="77777777" w:rsidR="00EB790B" w:rsidRPr="00DD1088" w:rsidRDefault="00EB790B" w:rsidP="008A0A90">
      <w:pPr>
        <w:pStyle w:val="BulletList"/>
      </w:pPr>
      <w:r w:rsidRPr="00DD1088">
        <w:t>unconfirmed: potential projects that remain unconfirmed currently</w:t>
      </w:r>
    </w:p>
    <w:p w14:paraId="0100D88A" w14:textId="77777777" w:rsidR="00EB790B" w:rsidRPr="00DD1088" w:rsidRDefault="00EB790B" w:rsidP="008A0A90">
      <w:pPr>
        <w:pStyle w:val="BulletList"/>
      </w:pPr>
      <w:r w:rsidRPr="00DD1088">
        <w:t>planning: confirmed, under contract projects where construction will begin in more than 12 months</w:t>
      </w:r>
    </w:p>
    <w:p w14:paraId="187FC934" w14:textId="77777777" w:rsidR="00EB790B" w:rsidRPr="00DD1088" w:rsidRDefault="00EB790B" w:rsidP="008A0A90">
      <w:pPr>
        <w:pStyle w:val="BulletList"/>
      </w:pPr>
      <w:r w:rsidRPr="00DD1088">
        <w:t>final planning: confirmed, under contract projects where construction should begin within the next 12 months</w:t>
      </w:r>
    </w:p>
    <w:p w14:paraId="795683AA" w14:textId="71F3DB2E" w:rsidR="00EB790B" w:rsidRPr="00DD1088" w:rsidRDefault="00EB790B" w:rsidP="008A0A90">
      <w:pPr>
        <w:pStyle w:val="BulletList"/>
      </w:pPr>
      <w:r w:rsidRPr="00DD1088">
        <w:t>in construction: vertical construction on the physical building has begun, not including construction on any sub</w:t>
      </w:r>
      <w:r w:rsidR="0039522C">
        <w:t>–</w:t>
      </w:r>
      <w:r w:rsidRPr="00DD1088">
        <w:t>grade structures such as parking garages, underground supports/footers, and other types of sub</w:t>
      </w:r>
      <w:r w:rsidR="0039522C">
        <w:t>–</w:t>
      </w:r>
      <w:r w:rsidRPr="00DD1088">
        <w:t>grade construction</w:t>
      </w:r>
    </w:p>
    <w:p w14:paraId="070609CF" w14:textId="77777777" w:rsidR="00EB790B" w:rsidRPr="00DD1088" w:rsidRDefault="00EB790B" w:rsidP="008A0A90">
      <w:pPr>
        <w:pStyle w:val="BulletList"/>
      </w:pPr>
      <w:r w:rsidRPr="00DD1088">
        <w:t>recently opened: project opened within the last 12 months.</w:t>
      </w:r>
    </w:p>
    <w:p w14:paraId="0DB2FB6E" w14:textId="4426FF69" w:rsidR="00EB790B" w:rsidRPr="00DD1088" w:rsidRDefault="00EB790B" w:rsidP="00EB790B">
      <w:pPr>
        <w:spacing w:before="120"/>
      </w:pPr>
      <w:r w:rsidRPr="00DD1088">
        <w:t xml:space="preserve">STR Global does not supply information on the value of projects but does include the number of rooms to be built. For the purpose of this Tourism Investment Monitor, TRA sources project values from industry and media where </w:t>
      </w:r>
      <w:r w:rsidR="009E52B2">
        <w:t>possible</w:t>
      </w:r>
      <w:r w:rsidRPr="00DD1088">
        <w:t>.</w:t>
      </w:r>
    </w:p>
    <w:p w14:paraId="26646B67" w14:textId="59555426" w:rsidR="00EB790B" w:rsidRPr="00DD1088" w:rsidRDefault="009E52B2" w:rsidP="00EB790B">
      <w:r>
        <w:t>In 2022</w:t>
      </w:r>
      <w:r w:rsidR="0039522C">
        <w:t>–</w:t>
      </w:r>
      <w:r>
        <w:t>23 and again in 2023</w:t>
      </w:r>
      <w:r w:rsidR="0039522C">
        <w:t>–</w:t>
      </w:r>
      <w:r>
        <w:t>24,</w:t>
      </w:r>
      <w:r w:rsidR="00EB790B" w:rsidRPr="00DD1088">
        <w:t xml:space="preserve"> TRA also reviewed the latest Australian Government and State Government budget papers to assist in isolating government funded investment projects not captured in the DAE Investment Monitor and/or STR Global Asia Pacific’s </w:t>
      </w:r>
      <w:r w:rsidR="00EB790B" w:rsidRPr="00DD1088">
        <w:rPr>
          <w:i/>
        </w:rPr>
        <w:t xml:space="preserve">Pipeline Database. </w:t>
      </w:r>
      <w:r w:rsidR="00EB790B" w:rsidRPr="00DD1088">
        <w:rPr>
          <w:iCs/>
        </w:rPr>
        <w:t xml:space="preserve">Many of the new arts, recreation, and business services projects in the </w:t>
      </w:r>
      <w:r w:rsidR="007E3F7A" w:rsidRPr="00DD1088">
        <w:rPr>
          <w:iCs/>
        </w:rPr>
        <w:t>2023</w:t>
      </w:r>
      <w:r w:rsidR="0039522C">
        <w:rPr>
          <w:iCs/>
        </w:rPr>
        <w:t>–</w:t>
      </w:r>
      <w:r w:rsidR="007E3F7A" w:rsidRPr="00DD1088">
        <w:rPr>
          <w:iCs/>
        </w:rPr>
        <w:t>24</w:t>
      </w:r>
      <w:r w:rsidR="00EB790B" w:rsidRPr="00DD1088">
        <w:rPr>
          <w:iCs/>
        </w:rPr>
        <w:t xml:space="preserve"> pipeline were identified through this review process.</w:t>
      </w:r>
    </w:p>
    <w:p w14:paraId="757909FC" w14:textId="77777777" w:rsidR="00EB790B" w:rsidRPr="00DD1088" w:rsidRDefault="00EB790B" w:rsidP="00EB790B">
      <w:pPr>
        <w:rPr>
          <w:rFonts w:eastAsia="Times New Roman" w:cs="Segoe UI"/>
          <w:lang w:val="en-US" w:eastAsia="en-AU"/>
        </w:rPr>
      </w:pPr>
      <w:r w:rsidRPr="00DD1088">
        <w:t>Input from state and territory government authorities has offered an additional layer of assurance for the tourism investment pipeline since 2016–17. This input provides an additional level of intelligence to compile a more comprehensive pipeline, with a focus on accommodation projects. TRA acknowledges the following organisations for their generous support:</w:t>
      </w:r>
    </w:p>
    <w:p w14:paraId="3F80F1E5" w14:textId="77777777" w:rsidR="00EB790B" w:rsidRPr="00DD1088" w:rsidRDefault="00EB790B" w:rsidP="008A0A90">
      <w:pPr>
        <w:pStyle w:val="BulletList"/>
        <w:rPr>
          <w:lang w:val="en-US" w:eastAsia="en-AU"/>
        </w:rPr>
      </w:pPr>
      <w:r w:rsidRPr="00DD1088">
        <w:rPr>
          <w:lang w:val="en-US" w:eastAsia="en-AU"/>
        </w:rPr>
        <w:t>Destination NSW</w:t>
      </w:r>
    </w:p>
    <w:p w14:paraId="50CCC704" w14:textId="77777777" w:rsidR="00EB790B" w:rsidRPr="00DD1088" w:rsidRDefault="00EB790B" w:rsidP="008A0A90">
      <w:pPr>
        <w:pStyle w:val="BulletList"/>
        <w:rPr>
          <w:lang w:val="en-US" w:eastAsia="en-AU"/>
        </w:rPr>
      </w:pPr>
      <w:r w:rsidRPr="00DD1088">
        <w:rPr>
          <w:lang w:val="en-US" w:eastAsia="en-AU"/>
        </w:rPr>
        <w:t>Department of Jobs, Skills, Industry and Regions, Victoria</w:t>
      </w:r>
    </w:p>
    <w:p w14:paraId="5AFBC2B6" w14:textId="0C72D9D7" w:rsidR="00EB790B" w:rsidRPr="00DD1088" w:rsidRDefault="00EB790B" w:rsidP="008A0A90">
      <w:pPr>
        <w:pStyle w:val="BulletList"/>
        <w:rPr>
          <w:lang w:val="en-US" w:eastAsia="en-AU"/>
        </w:rPr>
      </w:pPr>
      <w:r w:rsidRPr="00DD1088">
        <w:rPr>
          <w:lang w:val="en-US" w:eastAsia="en-AU"/>
        </w:rPr>
        <w:t xml:space="preserve">Department of Tourism, </w:t>
      </w:r>
      <w:r w:rsidR="00DC0ECB">
        <w:rPr>
          <w:lang w:val="en-US" w:eastAsia="en-AU"/>
        </w:rPr>
        <w:t>Science and Innovation</w:t>
      </w:r>
      <w:r w:rsidRPr="00DD1088">
        <w:rPr>
          <w:lang w:val="en-US" w:eastAsia="en-AU"/>
        </w:rPr>
        <w:t>, Queensland</w:t>
      </w:r>
    </w:p>
    <w:p w14:paraId="0769AD4B" w14:textId="77777777" w:rsidR="00EB790B" w:rsidRPr="00DD1088" w:rsidRDefault="00EB790B" w:rsidP="008A0A90">
      <w:pPr>
        <w:pStyle w:val="BulletList"/>
        <w:rPr>
          <w:lang w:val="en-US" w:eastAsia="en-AU"/>
        </w:rPr>
      </w:pPr>
      <w:r w:rsidRPr="00DD1088">
        <w:rPr>
          <w:lang w:val="en-US" w:eastAsia="en-AU"/>
        </w:rPr>
        <w:t>Tourism and Events Queensland</w:t>
      </w:r>
    </w:p>
    <w:p w14:paraId="7C29BC4E" w14:textId="77777777" w:rsidR="00EB790B" w:rsidRPr="00DD1088" w:rsidRDefault="00EB790B" w:rsidP="008A0A90">
      <w:pPr>
        <w:pStyle w:val="BulletList"/>
        <w:rPr>
          <w:lang w:val="en-US" w:eastAsia="en-AU"/>
        </w:rPr>
      </w:pPr>
      <w:r w:rsidRPr="00DD1088">
        <w:rPr>
          <w:lang w:val="en-US" w:eastAsia="en-AU"/>
        </w:rPr>
        <w:t>South Australian Tourism Commission</w:t>
      </w:r>
    </w:p>
    <w:p w14:paraId="682A0707" w14:textId="77777777" w:rsidR="00EB790B" w:rsidRPr="00DD1088" w:rsidRDefault="00EB790B" w:rsidP="008A0A90">
      <w:pPr>
        <w:pStyle w:val="BulletList"/>
        <w:rPr>
          <w:lang w:val="en-US" w:eastAsia="en-AU"/>
        </w:rPr>
      </w:pPr>
      <w:r w:rsidRPr="00DD1088">
        <w:rPr>
          <w:lang w:val="en-US" w:eastAsia="en-AU"/>
        </w:rPr>
        <w:t>Tourism Western Australia</w:t>
      </w:r>
    </w:p>
    <w:p w14:paraId="2F5C79C6" w14:textId="04C86D9A" w:rsidR="00EB790B" w:rsidRPr="00DD1088" w:rsidRDefault="00EB790B" w:rsidP="008A0A90">
      <w:pPr>
        <w:pStyle w:val="BulletList"/>
        <w:rPr>
          <w:lang w:val="en-US" w:eastAsia="en-AU"/>
        </w:rPr>
      </w:pPr>
      <w:r w:rsidRPr="00DD1088">
        <w:rPr>
          <w:lang w:val="en-US" w:eastAsia="en-AU"/>
        </w:rPr>
        <w:t>Office of the Coordinator</w:t>
      </w:r>
      <w:r w:rsidR="0039522C">
        <w:rPr>
          <w:lang w:val="en-US" w:eastAsia="en-AU"/>
        </w:rPr>
        <w:t>–</w:t>
      </w:r>
      <w:r w:rsidRPr="00DD1088">
        <w:rPr>
          <w:lang w:val="en-US" w:eastAsia="en-AU"/>
        </w:rPr>
        <w:t>General, Tasmania</w:t>
      </w:r>
    </w:p>
    <w:p w14:paraId="09B87FCB" w14:textId="77777777" w:rsidR="00EB790B" w:rsidRPr="00DD1088" w:rsidRDefault="00EB790B" w:rsidP="008A0A90">
      <w:pPr>
        <w:pStyle w:val="BulletList"/>
        <w:rPr>
          <w:lang w:val="en-US" w:eastAsia="en-AU"/>
        </w:rPr>
      </w:pPr>
      <w:r w:rsidRPr="00DD1088">
        <w:rPr>
          <w:lang w:val="en-US" w:eastAsia="en-AU"/>
        </w:rPr>
        <w:t>Tourism NT, Northern Territory</w:t>
      </w:r>
    </w:p>
    <w:p w14:paraId="060B4094" w14:textId="77777777" w:rsidR="00EB790B" w:rsidRPr="00DD1088" w:rsidRDefault="00EB790B" w:rsidP="008A0A90">
      <w:pPr>
        <w:pStyle w:val="BulletList"/>
        <w:rPr>
          <w:lang w:val="en-US" w:eastAsia="en-AU"/>
        </w:rPr>
      </w:pPr>
      <w:r w:rsidRPr="00DD1088">
        <w:rPr>
          <w:lang w:val="en-US" w:eastAsia="en-AU"/>
        </w:rPr>
        <w:t>Department of the Chief Minister and Cabinet, Northern Territory</w:t>
      </w:r>
    </w:p>
    <w:p w14:paraId="78B91939" w14:textId="77777777" w:rsidR="00EB790B" w:rsidRPr="00DD1088" w:rsidRDefault="00EB790B" w:rsidP="008A0A90">
      <w:pPr>
        <w:pStyle w:val="BulletList"/>
        <w:rPr>
          <w:lang w:val="en-US" w:eastAsia="en-AU"/>
        </w:rPr>
      </w:pPr>
      <w:r w:rsidRPr="00DD1088">
        <w:rPr>
          <w:lang w:val="en-US" w:eastAsia="en-AU"/>
        </w:rPr>
        <w:t>VisitCanberra, Australian Capital Territory.</w:t>
      </w:r>
    </w:p>
    <w:p w14:paraId="70098708" w14:textId="77777777" w:rsidR="00EB790B" w:rsidRPr="00DD1088" w:rsidRDefault="00EB790B" w:rsidP="00EB790B">
      <w:pPr>
        <w:pStyle w:val="Heading3"/>
      </w:pPr>
      <w:bookmarkStart w:id="209" w:name="_Toc95805123"/>
      <w:bookmarkStart w:id="210" w:name="_Toc95899365"/>
      <w:bookmarkStart w:id="211" w:name="_Toc126933058"/>
      <w:bookmarkStart w:id="212" w:name="_Toc126933942"/>
      <w:bookmarkStart w:id="213" w:name="_Toc1550234937"/>
      <w:bookmarkStart w:id="214" w:name="_Toc188024250"/>
      <w:bookmarkStart w:id="215" w:name="_Toc189145286"/>
      <w:bookmarkStart w:id="216" w:name="_Toc190084786"/>
      <w:r w:rsidRPr="00DD1088">
        <w:t>Alignment of data sources</w:t>
      </w:r>
      <w:bookmarkEnd w:id="209"/>
      <w:bookmarkEnd w:id="210"/>
      <w:bookmarkEnd w:id="211"/>
      <w:bookmarkEnd w:id="212"/>
      <w:bookmarkEnd w:id="213"/>
      <w:bookmarkEnd w:id="214"/>
      <w:bookmarkEnd w:id="215"/>
      <w:bookmarkEnd w:id="216"/>
    </w:p>
    <w:p w14:paraId="388E2A54" w14:textId="77777777" w:rsidR="00EB790B" w:rsidRPr="00DD1088" w:rsidRDefault="00EB790B" w:rsidP="00EB790B">
      <w:r w:rsidRPr="00DD1088">
        <w:t>Where projects in TRA’s pipeline for the Tourism Investment Monitor have been sourced from the DAE or STR Global databases, they are categorised into project phases in the following way:</w:t>
      </w:r>
    </w:p>
    <w:p w14:paraId="40FAAC10" w14:textId="77777777" w:rsidR="00EB790B" w:rsidRPr="00DD1088" w:rsidRDefault="00EB790B" w:rsidP="008A0A90">
      <w:pPr>
        <w:pStyle w:val="BulletList"/>
      </w:pPr>
      <w:r w:rsidRPr="00DD1088">
        <w:t>proposed: includes projects identified as ‘possible’ (DAE), ‘unconfirmed’ (STR Global)</w:t>
      </w:r>
    </w:p>
    <w:p w14:paraId="6BA7A997" w14:textId="77777777" w:rsidR="00EB790B" w:rsidRPr="00DD1088" w:rsidRDefault="00EB790B" w:rsidP="008A0A90">
      <w:pPr>
        <w:pStyle w:val="BulletList"/>
      </w:pPr>
      <w:r w:rsidRPr="00DD1088">
        <w:t xml:space="preserve">planning: includes projects identified as ‘under consideration’ (DAE), ‘in consideration’ (STR Global), ‘planning’ (STR Global), ‘final planning’ (STR Global), ‘committed’ (DAE) </w:t>
      </w:r>
    </w:p>
    <w:p w14:paraId="1A220683" w14:textId="1B3F9690" w:rsidR="00EB790B" w:rsidRPr="00DD1088" w:rsidRDefault="00EB790B" w:rsidP="008A0A90">
      <w:pPr>
        <w:pStyle w:val="BulletList"/>
      </w:pPr>
      <w:r w:rsidRPr="00DD1088">
        <w:t xml:space="preserve">under </w:t>
      </w:r>
      <w:r w:rsidR="001B1EEE" w:rsidRPr="00DD1088">
        <w:t>construction</w:t>
      </w:r>
      <w:r w:rsidRPr="00DD1088">
        <w:t xml:space="preserve"> includes projects identified as ‘under construction’ (DAE), ‘in construction’ (STR Global)</w:t>
      </w:r>
    </w:p>
    <w:p w14:paraId="5EDEBCDD" w14:textId="598B61DC" w:rsidR="00EB790B" w:rsidRPr="00581F01" w:rsidRDefault="00EB790B" w:rsidP="00581F01">
      <w:pPr>
        <w:pStyle w:val="BulletList"/>
        <w:spacing w:line="300" w:lineRule="exact"/>
      </w:pPr>
      <w:r w:rsidRPr="00DD1088">
        <w:t>recently opened: includes projects identified as ‘completed’ (DAE), ‘recently opened’ (STR Global).</w:t>
      </w:r>
      <w:bookmarkStart w:id="217" w:name="_Toc95805124"/>
    </w:p>
    <w:p w14:paraId="22005D01" w14:textId="08036D4C" w:rsidR="00EB790B" w:rsidRDefault="00EB790B" w:rsidP="008176CC">
      <w:pPr>
        <w:pStyle w:val="Heading3"/>
      </w:pPr>
      <w:bookmarkStart w:id="218" w:name="_Toc126933059"/>
      <w:bookmarkStart w:id="219" w:name="_Toc126933943"/>
      <w:bookmarkStart w:id="220" w:name="_Toc368496508"/>
      <w:bookmarkStart w:id="221" w:name="_Toc153782358"/>
      <w:r w:rsidRPr="00DD1088">
        <w:lastRenderedPageBreak/>
        <w:t>Glossary</w:t>
      </w:r>
      <w:bookmarkEnd w:id="217"/>
      <w:bookmarkEnd w:id="218"/>
      <w:bookmarkEnd w:id="219"/>
      <w:bookmarkEnd w:id="220"/>
      <w:bookmarkEnd w:id="221"/>
    </w:p>
    <w:p w14:paraId="02FCA65D" w14:textId="77777777" w:rsidR="00EB790B" w:rsidRPr="00DD1088" w:rsidRDefault="00EB790B" w:rsidP="00EB790B">
      <w:pPr>
        <w:pStyle w:val="Heading4"/>
      </w:pPr>
      <w:bookmarkStart w:id="222" w:name="_Toc95805125"/>
      <w:r w:rsidRPr="00DD1088">
        <w:t>Accommodation</w:t>
      </w:r>
      <w:bookmarkEnd w:id="222"/>
    </w:p>
    <w:p w14:paraId="3186FDB3" w14:textId="55122EAC" w:rsidR="00EB790B" w:rsidRPr="00DD1088" w:rsidRDefault="00EB790B" w:rsidP="00EB790B">
      <w:r w:rsidRPr="00DD1088">
        <w:t>Buildings primarily providing short</w:t>
      </w:r>
      <w:r w:rsidR="0039522C">
        <w:t>–</w:t>
      </w:r>
      <w:r w:rsidRPr="00DD1088">
        <w:t>term or temporary accommodation on a commercial basis, including:</w:t>
      </w:r>
    </w:p>
    <w:p w14:paraId="22BF938C" w14:textId="0CCC62CD" w:rsidR="00EB790B" w:rsidRPr="00DD1088" w:rsidRDefault="00EB790B" w:rsidP="00183356">
      <w:pPr>
        <w:pStyle w:val="BulletList"/>
      </w:pPr>
      <w:r w:rsidRPr="00DD1088">
        <w:t>self</w:t>
      </w:r>
      <w:r w:rsidR="0039522C">
        <w:t>–</w:t>
      </w:r>
      <w:r w:rsidRPr="00DD1088">
        <w:t>contained, short</w:t>
      </w:r>
      <w:r w:rsidR="0039522C">
        <w:t>–</w:t>
      </w:r>
      <w:r w:rsidRPr="00DD1088">
        <w:t>term apartments, for example serviced apartments</w:t>
      </w:r>
    </w:p>
    <w:p w14:paraId="2A8C3256" w14:textId="77777777" w:rsidR="00EB790B" w:rsidRPr="00DD1088" w:rsidRDefault="00EB790B" w:rsidP="00183356">
      <w:pPr>
        <w:pStyle w:val="BulletList"/>
      </w:pPr>
      <w:r w:rsidRPr="00DD1088">
        <w:t>hotels that mainly provide accommodation, motels and guest houses, boarding houses, and cabins</w:t>
      </w:r>
    </w:p>
    <w:p w14:paraId="5F73C3DD" w14:textId="7B10A86B" w:rsidR="00EB790B" w:rsidRPr="00DD1088" w:rsidRDefault="00EB790B" w:rsidP="00183356">
      <w:pPr>
        <w:pStyle w:val="BulletList"/>
      </w:pPr>
      <w:r w:rsidRPr="00DD1088">
        <w:t>other short</w:t>
      </w:r>
      <w:r w:rsidR="0039522C">
        <w:t>–</w:t>
      </w:r>
      <w:r w:rsidRPr="00DD1088">
        <w:t>term accommodation including migrant hostels, youth hostels and lodges.</w:t>
      </w:r>
    </w:p>
    <w:p w14:paraId="772DDF15" w14:textId="77777777" w:rsidR="00EB790B" w:rsidRPr="00DD1088" w:rsidRDefault="00EB790B" w:rsidP="00EB790B">
      <w:pPr>
        <w:pStyle w:val="Heading4"/>
      </w:pPr>
      <w:bookmarkStart w:id="223" w:name="_Toc95805126"/>
      <w:r w:rsidRPr="00DD1088">
        <w:t>Arts, recreation, and business services</w:t>
      </w:r>
      <w:bookmarkEnd w:id="223"/>
    </w:p>
    <w:p w14:paraId="35D414C0" w14:textId="77777777" w:rsidR="00EB790B" w:rsidRPr="00DD1088" w:rsidRDefault="00EB790B" w:rsidP="00EB790B">
      <w:r w:rsidRPr="00DD1088">
        <w:t>The arts, recreation, and business services sector include the following entities:</w:t>
      </w:r>
    </w:p>
    <w:p w14:paraId="242CE7C9" w14:textId="77777777" w:rsidR="00EB790B" w:rsidRPr="00DD1088" w:rsidRDefault="00EB790B" w:rsidP="00183356">
      <w:pPr>
        <w:pStyle w:val="BulletList"/>
      </w:pPr>
      <w:r w:rsidRPr="00DD1088">
        <w:t>‘Heritage activities’ such as museums, parks, and garden operations</w:t>
      </w:r>
    </w:p>
    <w:p w14:paraId="69C4E248" w14:textId="77777777" w:rsidR="00EB790B" w:rsidRPr="00DD1088" w:rsidRDefault="00EB790B" w:rsidP="00183356">
      <w:pPr>
        <w:pStyle w:val="BulletList"/>
      </w:pPr>
      <w:r w:rsidRPr="00DD1088">
        <w:t>‘Creative and performing arts activities’ such as performing arts operations, creative artists, musicians, writers, and performers, and performing art venue operations</w:t>
      </w:r>
    </w:p>
    <w:p w14:paraId="4129E34F" w14:textId="77777777" w:rsidR="00EB790B" w:rsidRPr="00DD1088" w:rsidRDefault="00EB790B" w:rsidP="00183356">
      <w:pPr>
        <w:pStyle w:val="BulletList"/>
      </w:pPr>
      <w:r w:rsidRPr="00DD1088">
        <w:t xml:space="preserve">‘Sports and recreation activities’ such as: </w:t>
      </w:r>
    </w:p>
    <w:p w14:paraId="7F0230E7" w14:textId="77777777" w:rsidR="00EB790B" w:rsidRPr="00183356" w:rsidRDefault="00EB790B" w:rsidP="00183356">
      <w:pPr>
        <w:pStyle w:val="BulletList"/>
        <w:numPr>
          <w:ilvl w:val="1"/>
          <w:numId w:val="1"/>
        </w:numPr>
      </w:pPr>
      <w:r w:rsidRPr="00183356">
        <w:t>health and fitness centres and gymnasium operations</w:t>
      </w:r>
    </w:p>
    <w:p w14:paraId="121AFAA4" w14:textId="77777777" w:rsidR="00EB790B" w:rsidRPr="00183356" w:rsidRDefault="00EB790B" w:rsidP="00183356">
      <w:pPr>
        <w:pStyle w:val="BulletList"/>
        <w:numPr>
          <w:ilvl w:val="1"/>
          <w:numId w:val="1"/>
        </w:numPr>
      </w:pPr>
      <w:r w:rsidRPr="00183356">
        <w:t>sports and physical recreation clubs and sports professionals</w:t>
      </w:r>
    </w:p>
    <w:p w14:paraId="300E2EA2" w14:textId="77777777" w:rsidR="00EB790B" w:rsidRPr="00183356" w:rsidRDefault="00EB790B" w:rsidP="00183356">
      <w:pPr>
        <w:pStyle w:val="BulletList"/>
        <w:numPr>
          <w:ilvl w:val="1"/>
          <w:numId w:val="1"/>
        </w:numPr>
      </w:pPr>
      <w:r w:rsidRPr="00183356">
        <w:t>sports and physical recreation venues, grounds, and facilities operations</w:t>
      </w:r>
    </w:p>
    <w:p w14:paraId="2B1FDA83" w14:textId="77777777" w:rsidR="00EB790B" w:rsidRPr="00183356" w:rsidRDefault="00EB790B" w:rsidP="00183356">
      <w:pPr>
        <w:pStyle w:val="BulletList"/>
        <w:numPr>
          <w:ilvl w:val="1"/>
          <w:numId w:val="1"/>
        </w:numPr>
      </w:pPr>
      <w:r w:rsidRPr="00183356">
        <w:t>sports and physical recreation administrative activities</w:t>
      </w:r>
    </w:p>
    <w:p w14:paraId="000EAF62" w14:textId="77777777" w:rsidR="00EB790B" w:rsidRPr="00183356" w:rsidRDefault="00EB790B" w:rsidP="00183356">
      <w:pPr>
        <w:pStyle w:val="BulletList"/>
        <w:numPr>
          <w:ilvl w:val="1"/>
          <w:numId w:val="1"/>
        </w:numPr>
      </w:pPr>
      <w:r w:rsidRPr="00183356">
        <w:t>horse and dog racing administration and track operations</w:t>
      </w:r>
    </w:p>
    <w:p w14:paraId="4E6AE345" w14:textId="77777777" w:rsidR="00EB790B" w:rsidRPr="00183356" w:rsidRDefault="00EB790B" w:rsidP="00183356">
      <w:pPr>
        <w:pStyle w:val="BulletList"/>
        <w:numPr>
          <w:ilvl w:val="1"/>
          <w:numId w:val="1"/>
        </w:numPr>
      </w:pPr>
      <w:r w:rsidRPr="00183356">
        <w:t>other horse and dog racing activities</w:t>
      </w:r>
    </w:p>
    <w:p w14:paraId="759DAF66" w14:textId="77777777" w:rsidR="00EB790B" w:rsidRPr="00183356" w:rsidRDefault="00EB790B" w:rsidP="00183356">
      <w:pPr>
        <w:pStyle w:val="BulletList"/>
        <w:numPr>
          <w:ilvl w:val="1"/>
          <w:numId w:val="1"/>
        </w:numPr>
      </w:pPr>
      <w:r w:rsidRPr="00183356">
        <w:t>amusement park and centre operations</w:t>
      </w:r>
    </w:p>
    <w:p w14:paraId="3D5EC1A8" w14:textId="77777777" w:rsidR="00EB790B" w:rsidRPr="00DD1088" w:rsidRDefault="00EB790B" w:rsidP="00183356">
      <w:pPr>
        <w:pStyle w:val="BulletList"/>
        <w:numPr>
          <w:ilvl w:val="1"/>
          <w:numId w:val="1"/>
        </w:numPr>
      </w:pPr>
      <w:r w:rsidRPr="00183356">
        <w:t>amusement</w:t>
      </w:r>
      <w:r w:rsidRPr="00DD1088">
        <w:t xml:space="preserve"> and other recreation activities not elsewhere classified</w:t>
      </w:r>
    </w:p>
    <w:p w14:paraId="77382F8E" w14:textId="77777777" w:rsidR="00EB790B" w:rsidRPr="00DD1088" w:rsidRDefault="00EB790B" w:rsidP="00183356">
      <w:pPr>
        <w:pStyle w:val="BulletList"/>
      </w:pPr>
      <w:r w:rsidRPr="00DD1088">
        <w:t>‘Gambling activities’ such as casino operations, lottery operations and other gaming activities</w:t>
      </w:r>
    </w:p>
    <w:p w14:paraId="41855F82" w14:textId="77777777" w:rsidR="00EB790B" w:rsidRPr="00DD1088" w:rsidRDefault="00EB790B" w:rsidP="00183356">
      <w:pPr>
        <w:pStyle w:val="BulletList"/>
      </w:pPr>
      <w:r w:rsidRPr="00DD1088">
        <w:t>‘Business services’ such as facilities to host conferences, conventions, or other business services</w:t>
      </w:r>
    </w:p>
    <w:p w14:paraId="34ADE10F" w14:textId="77777777" w:rsidR="00EB790B" w:rsidRPr="00DD1088" w:rsidRDefault="00EB790B" w:rsidP="00183356">
      <w:pPr>
        <w:pStyle w:val="BulletList"/>
      </w:pPr>
      <w:r w:rsidRPr="00DD1088">
        <w:t>Activities related to wellness/icon/trail/walk/nature experience projects.</w:t>
      </w:r>
    </w:p>
    <w:p w14:paraId="0D9FC655" w14:textId="77777777" w:rsidR="00EB790B" w:rsidRPr="00DD1088" w:rsidRDefault="00EB790B" w:rsidP="00EB790B">
      <w:pPr>
        <w:pStyle w:val="Heading4"/>
      </w:pPr>
      <w:bookmarkStart w:id="224" w:name="_Toc95805127"/>
      <w:r w:rsidRPr="00DD1088">
        <w:t>Aviation</w:t>
      </w:r>
      <w:bookmarkEnd w:id="224"/>
    </w:p>
    <w:p w14:paraId="4588621A" w14:textId="77777777" w:rsidR="00EB790B" w:rsidRPr="00DD1088" w:rsidRDefault="00EB790B" w:rsidP="00EB790B">
      <w:r w:rsidRPr="00DD1088">
        <w:t>The aviation sector refers to the infrastructure (projects relating to fixed infrastructure such as new runways and new buildings only) required to support national and international passenger aircraft movements between domestic and international airports.</w:t>
      </w:r>
    </w:p>
    <w:p w14:paraId="1C285444" w14:textId="77777777" w:rsidR="00EB790B" w:rsidRPr="00DD1088" w:rsidRDefault="00EB790B" w:rsidP="00EB790B">
      <w:pPr>
        <w:pStyle w:val="Heading4"/>
      </w:pPr>
      <w:bookmarkStart w:id="225" w:name="_Toc95805128"/>
      <w:r w:rsidRPr="00DD1088">
        <w:t>Deferred</w:t>
      </w:r>
      <w:bookmarkEnd w:id="225"/>
    </w:p>
    <w:p w14:paraId="52357FDB" w14:textId="095E2872" w:rsidR="00EB790B" w:rsidRPr="00DD1088" w:rsidRDefault="00EB790B" w:rsidP="00EB790B">
      <w:r w:rsidRPr="00DD1088">
        <w:t>Deferred projects are those that have exited the pipeline due to the investor placing the project on hold. These projects may re</w:t>
      </w:r>
      <w:r w:rsidR="0039522C">
        <w:t>–</w:t>
      </w:r>
      <w:r w:rsidRPr="00DD1088">
        <w:t>enter the pipeline at a later stage if the investor chooses to proceed with the project.</w:t>
      </w:r>
    </w:p>
    <w:p w14:paraId="6976D583" w14:textId="77777777" w:rsidR="00EB790B" w:rsidRPr="00DD1088" w:rsidRDefault="00EB790B" w:rsidP="00EB790B">
      <w:pPr>
        <w:pStyle w:val="Heading4"/>
      </w:pPr>
      <w:bookmarkStart w:id="226" w:name="_Toc95805129"/>
      <w:r w:rsidRPr="00DD1088">
        <w:t>Planning</w:t>
      </w:r>
      <w:bookmarkEnd w:id="226"/>
    </w:p>
    <w:p w14:paraId="0EEA0472" w14:textId="77777777" w:rsidR="00EB790B" w:rsidRPr="00DD1088" w:rsidRDefault="00EB790B" w:rsidP="00EB790B">
      <w:r w:rsidRPr="00DD1088">
        <w:t>Includes the value of projects that have been submitted for approval. This includes:</w:t>
      </w:r>
    </w:p>
    <w:p w14:paraId="42B93493" w14:textId="77777777" w:rsidR="00EB790B" w:rsidRPr="00DD1088" w:rsidRDefault="00EB790B" w:rsidP="00183356">
      <w:pPr>
        <w:pStyle w:val="BulletList"/>
      </w:pPr>
      <w:r w:rsidRPr="00DD1088">
        <w:t>projects already under consideration</w:t>
      </w:r>
    </w:p>
    <w:p w14:paraId="5622B6DB" w14:textId="77777777" w:rsidR="00EB790B" w:rsidRPr="00DD1088" w:rsidRDefault="00EB790B" w:rsidP="00183356">
      <w:pPr>
        <w:pStyle w:val="BulletList"/>
      </w:pPr>
      <w:r w:rsidRPr="00DD1088">
        <w:t>projects with approval that have not yet commenced works</w:t>
      </w:r>
    </w:p>
    <w:p w14:paraId="0CCDC607" w14:textId="77777777" w:rsidR="00EB790B" w:rsidRPr="00DD1088" w:rsidRDefault="00EB790B" w:rsidP="00183356">
      <w:pPr>
        <w:pStyle w:val="BulletList"/>
      </w:pPr>
      <w:r w:rsidRPr="00DD1088">
        <w:t>other projects that have plans submitted to the local council or appropriate body.</w:t>
      </w:r>
    </w:p>
    <w:p w14:paraId="4D32C58C" w14:textId="77777777" w:rsidR="00EB790B" w:rsidRPr="00DD1088" w:rsidRDefault="00EB790B" w:rsidP="00EB790B">
      <w:pPr>
        <w:pStyle w:val="Heading4"/>
      </w:pPr>
      <w:bookmarkStart w:id="227" w:name="_Toc95805130"/>
      <w:r w:rsidRPr="00DD1088">
        <w:t>Proposed</w:t>
      </w:r>
      <w:bookmarkEnd w:id="227"/>
    </w:p>
    <w:p w14:paraId="2FD15EE2" w14:textId="77777777" w:rsidR="00EB790B" w:rsidRPr="00DD1088" w:rsidRDefault="00EB790B" w:rsidP="00EB790B">
      <w:r w:rsidRPr="00DD1088">
        <w:lastRenderedPageBreak/>
        <w:t>Projects that are still possibilities or proposals at this stage. This includes projects that have not yet submitted council plans or have a project under council consideration.</w:t>
      </w:r>
    </w:p>
    <w:p w14:paraId="0E31C179" w14:textId="77777777" w:rsidR="00EB790B" w:rsidRPr="00DD1088" w:rsidRDefault="00EB790B" w:rsidP="00EB790B">
      <w:pPr>
        <w:pStyle w:val="Heading4"/>
      </w:pPr>
      <w:bookmarkStart w:id="228" w:name="_Toc95805131"/>
      <w:r w:rsidRPr="00DD1088">
        <w:t>Regional areas</w:t>
      </w:r>
      <w:bookmarkEnd w:id="228"/>
    </w:p>
    <w:p w14:paraId="25D7E95E" w14:textId="77777777" w:rsidR="00EB790B" w:rsidRPr="00DD1088" w:rsidRDefault="00EB790B" w:rsidP="00EB790B">
      <w:r w:rsidRPr="00DD1088">
        <w:t xml:space="preserve">The areas of a state or territory excluding its capital city tourism region and excluding the Gold Coast tourism region. </w:t>
      </w:r>
    </w:p>
    <w:p w14:paraId="67208DA4" w14:textId="77777777" w:rsidR="00EB790B" w:rsidRPr="00DD1088" w:rsidRDefault="00EB790B" w:rsidP="00EB790B">
      <w:pPr>
        <w:pStyle w:val="Heading4"/>
      </w:pPr>
      <w:bookmarkStart w:id="229" w:name="_Toc95805132"/>
      <w:r w:rsidRPr="00DD1088">
        <w:t>Rooms</w:t>
      </w:r>
      <w:bookmarkEnd w:id="229"/>
    </w:p>
    <w:p w14:paraId="66E6CC41" w14:textId="37BD8245" w:rsidR="00EB790B" w:rsidRPr="00DD1088" w:rsidRDefault="00EB790B" w:rsidP="00EB790B">
      <w:r w:rsidRPr="00DD1088">
        <w:t xml:space="preserve">Rooms available for accommodating </w:t>
      </w:r>
      <w:r w:rsidR="00B342DB" w:rsidRPr="00DD1088">
        <w:t>short</w:t>
      </w:r>
      <w:r w:rsidR="00B342DB">
        <w:t>-term</w:t>
      </w:r>
      <w:r w:rsidRPr="00DD1088">
        <w:t xml:space="preserve"> paying guests at each hotel and resort, motel, guest house, and serviced apartment during the survey period. Units, apartments, and suites are treated as rooms for these types of establishments.</w:t>
      </w:r>
    </w:p>
    <w:p w14:paraId="3F36C73C" w14:textId="77777777" w:rsidR="00EB790B" w:rsidRPr="00DD1088" w:rsidRDefault="00EB790B" w:rsidP="00EB790B">
      <w:pPr>
        <w:pStyle w:val="Heading4"/>
      </w:pPr>
      <w:bookmarkStart w:id="230" w:name="_Toc95805134"/>
      <w:r w:rsidRPr="00DD1088">
        <w:t>Under construction</w:t>
      </w:r>
      <w:bookmarkEnd w:id="230"/>
    </w:p>
    <w:p w14:paraId="6BE5F152" w14:textId="19EB91C8" w:rsidR="00EB790B" w:rsidRPr="00DD1088" w:rsidRDefault="00EB790B" w:rsidP="00DD1088">
      <w:r w:rsidRPr="00DD1088">
        <w:t>Projects that have commenced building. A project will remain in this phase until its official opening.</w:t>
      </w:r>
    </w:p>
    <w:sectPr w:rsidR="00EB790B" w:rsidRPr="00DD1088" w:rsidSect="00D92ABC">
      <w:headerReference w:type="even" r:id="rId30"/>
      <w:headerReference w:type="default" r:id="rId31"/>
      <w:footerReference w:type="even" r:id="rId32"/>
      <w:footerReference w:type="default" r:id="rId33"/>
      <w:headerReference w:type="first" r:id="rId34"/>
      <w:footerReference w:type="first" r:id="rId35"/>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92FD" w14:textId="77777777" w:rsidR="004F568F" w:rsidRDefault="004F568F" w:rsidP="007B0021">
      <w:r>
        <w:separator/>
      </w:r>
    </w:p>
    <w:p w14:paraId="5FB5FADB" w14:textId="77777777" w:rsidR="004F568F" w:rsidRDefault="004F568F" w:rsidP="007B0021"/>
  </w:endnote>
  <w:endnote w:type="continuationSeparator" w:id="0">
    <w:p w14:paraId="4851BAAC" w14:textId="77777777" w:rsidR="004F568F" w:rsidRDefault="004F568F" w:rsidP="007B0021">
      <w:r>
        <w:continuationSeparator/>
      </w:r>
    </w:p>
    <w:p w14:paraId="0273444F" w14:textId="77777777" w:rsidR="004F568F" w:rsidRDefault="004F568F" w:rsidP="007B0021"/>
  </w:endnote>
  <w:endnote w:type="continuationNotice" w:id="1">
    <w:p w14:paraId="5B5E9CCD" w14:textId="77777777" w:rsidR="004F568F" w:rsidRDefault="004F5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U Sans BETA Text Medium">
    <w:altName w:val="Calibri"/>
    <w:panose1 w:val="00000000000000000000"/>
    <w:charset w:val="00"/>
    <w:family w:val="modern"/>
    <w:notTrueType/>
    <w:pitch w:val="variable"/>
    <w:sig w:usb0="00000003" w:usb1="00000000" w:usb2="00000000" w:usb3="00000000" w:csb0="00000001" w:csb1="00000000"/>
  </w:font>
  <w:font w:name="AU Sans BETA Text Light">
    <w:altName w:val="Calibri"/>
    <w:panose1 w:val="00000000000000000000"/>
    <w:charset w:val="00"/>
    <w:family w:val="modern"/>
    <w:notTrueType/>
    <w:pitch w:val="variable"/>
    <w:sig w:usb0="00000003" w:usb1="00000000" w:usb2="00000000" w:usb3="00000000" w:csb0="00000001" w:csb1="00000000"/>
  </w:font>
  <w:font w:name="AUSansText-Medium">
    <w:altName w:val="Calibri"/>
    <w:panose1 w:val="00000000000000000000"/>
    <w:charset w:val="00"/>
    <w:family w:val="swiss"/>
    <w:notTrueType/>
    <w:pitch w:val="default"/>
    <w:sig w:usb0="00000003" w:usb1="00000000" w:usb2="00000000" w:usb3="00000000" w:csb0="00000001" w:csb1="00000000"/>
  </w:font>
  <w:font w:name="AUSansTex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DEC4" w14:textId="215F6B8E" w:rsidR="00F15CC3" w:rsidRDefault="00F15CC3">
    <w:pPr>
      <w:pStyle w:val="Footer"/>
    </w:pPr>
    <w:r>
      <w:rPr>
        <w:noProof/>
      </w:rPr>
      <mc:AlternateContent>
        <mc:Choice Requires="wps">
          <w:drawing>
            <wp:anchor distT="0" distB="0" distL="0" distR="0" simplePos="0" relativeHeight="251658244" behindDoc="0" locked="0" layoutInCell="1" allowOverlap="1" wp14:anchorId="64ADD9AF" wp14:editId="5A0F05BC">
              <wp:simplePos x="635" y="635"/>
              <wp:positionH relativeFrom="page">
                <wp:align>center</wp:align>
              </wp:positionH>
              <wp:positionV relativeFrom="page">
                <wp:align>bottom</wp:align>
              </wp:positionV>
              <wp:extent cx="551815" cy="508000"/>
              <wp:effectExtent l="0" t="0" r="635" b="0"/>
              <wp:wrapNone/>
              <wp:docPr id="18807613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AA16CE7" w14:textId="6DDB90EA"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DD9AF"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0AA16CE7" w14:textId="6DDB90EA"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904927"/>
      <w:docPartObj>
        <w:docPartGallery w:val="Page Numbers (Bottom of Page)"/>
        <w:docPartUnique/>
      </w:docPartObj>
    </w:sdtPr>
    <w:sdtEndPr>
      <w:rPr>
        <w:noProof/>
      </w:rPr>
    </w:sdtEndPr>
    <w:sdtContent>
      <w:p w14:paraId="121DB404" w14:textId="769ED365" w:rsidR="005B5F1A" w:rsidRDefault="005B5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6574AA" w14:textId="63997B57" w:rsidR="00F15CC3" w:rsidRDefault="00F15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8E9A" w14:textId="5E7C6E90" w:rsidR="00F15CC3" w:rsidRDefault="00F15CC3">
    <w:pPr>
      <w:pStyle w:val="Footer"/>
    </w:pPr>
    <w:r>
      <w:rPr>
        <w:noProof/>
      </w:rPr>
      <mc:AlternateContent>
        <mc:Choice Requires="wps">
          <w:drawing>
            <wp:anchor distT="0" distB="0" distL="0" distR="0" simplePos="0" relativeHeight="251658243" behindDoc="0" locked="0" layoutInCell="1" allowOverlap="1" wp14:anchorId="66AA61C0" wp14:editId="79A7AE1C">
              <wp:simplePos x="628650" y="10144125"/>
              <wp:positionH relativeFrom="page">
                <wp:align>center</wp:align>
              </wp:positionH>
              <wp:positionV relativeFrom="page">
                <wp:align>bottom</wp:align>
              </wp:positionV>
              <wp:extent cx="551815" cy="508000"/>
              <wp:effectExtent l="0" t="0" r="635" b="0"/>
              <wp:wrapNone/>
              <wp:docPr id="11074767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C5AA1DF" w14:textId="6C00D7BA"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A61C0" id="_x0000_t202" coordsize="21600,21600" o:spt="202" path="m,l,21600r21600,l21600,xe">
              <v:stroke joinstyle="miter"/>
              <v:path gradientshapeok="t" o:connecttype="rect"/>
            </v:shapetype>
            <v:shape id="Text Box 4" o:spid="_x0000_s1030"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cDgIAABwEAAAOAAAAZHJzL2Uyb0RvYy54bWysU01v2zAMvQ/YfxB0X2wXy5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zYGwcDgIAABwE&#10;AAAOAAAAAAAAAAAAAAAAAC4CAABkcnMvZTJvRG9jLnhtbFBLAQItABQABgAIAAAAIQAun/o72gAA&#10;AAMBAAAPAAAAAAAAAAAAAAAAAGgEAABkcnMvZG93bnJldi54bWxQSwUGAAAAAAQABADzAAAAbwUA&#10;AAAA&#10;" filled="f" stroked="f">
              <v:textbox style="mso-fit-shape-to-text:t" inset="0,0,0,15pt">
                <w:txbxContent>
                  <w:p w14:paraId="6C5AA1DF" w14:textId="6C00D7BA"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3641" w14:textId="77777777" w:rsidR="004F568F" w:rsidRDefault="004F568F" w:rsidP="007B0021">
      <w:r>
        <w:separator/>
      </w:r>
    </w:p>
    <w:p w14:paraId="56314449" w14:textId="77777777" w:rsidR="004F568F" w:rsidRDefault="004F568F" w:rsidP="007B0021"/>
  </w:footnote>
  <w:footnote w:type="continuationSeparator" w:id="0">
    <w:p w14:paraId="46F00F4E" w14:textId="77777777" w:rsidR="004F568F" w:rsidRDefault="004F568F" w:rsidP="007B0021">
      <w:r>
        <w:continuationSeparator/>
      </w:r>
    </w:p>
    <w:p w14:paraId="0287EF05" w14:textId="77777777" w:rsidR="004F568F" w:rsidRDefault="004F568F" w:rsidP="007B0021"/>
  </w:footnote>
  <w:footnote w:type="continuationNotice" w:id="1">
    <w:p w14:paraId="141B60E0" w14:textId="77777777" w:rsidR="004F568F" w:rsidRDefault="004F568F">
      <w:pPr>
        <w:spacing w:after="0" w:line="240" w:lineRule="auto"/>
      </w:pPr>
    </w:p>
  </w:footnote>
  <w:footnote w:id="2">
    <w:p w14:paraId="760D1DE7" w14:textId="78C9C0E5" w:rsidR="00D31DF8" w:rsidRDefault="00D31DF8">
      <w:pPr>
        <w:pStyle w:val="FootnoteText"/>
      </w:pPr>
      <w:r w:rsidRPr="00280DAF">
        <w:rPr>
          <w:rStyle w:val="FootnoteReference"/>
        </w:rPr>
        <w:footnoteRef/>
      </w:r>
      <w:r w:rsidRPr="00280DAF">
        <w:t xml:space="preserve"> </w:t>
      </w:r>
      <w:hyperlink r:id="rId1" w:history="1">
        <w:r w:rsidR="00A03FFB" w:rsidRPr="00280DAF">
          <w:rPr>
            <w:rStyle w:val="Hyperlink"/>
          </w:rPr>
          <w:t>Discretionary spending up for the third straight month | Australian Bureau of Statistics</w:t>
        </w:r>
      </w:hyperlink>
    </w:p>
  </w:footnote>
  <w:footnote w:id="3">
    <w:p w14:paraId="2202FA9F" w14:textId="6BFDF4AC" w:rsidR="00772593" w:rsidRPr="005E47B6" w:rsidRDefault="00772593" w:rsidP="00772593">
      <w:pPr>
        <w:pStyle w:val="FootnoteText"/>
      </w:pPr>
      <w:r w:rsidRPr="005E47B6">
        <w:rPr>
          <w:rStyle w:val="FootnoteReference"/>
        </w:rPr>
        <w:footnoteRef/>
      </w:r>
      <w:r w:rsidRPr="005E47B6">
        <w:t xml:space="preserve"> There were </w:t>
      </w:r>
      <w:r w:rsidR="0022354B">
        <w:t>21</w:t>
      </w:r>
      <w:r w:rsidRPr="005E47B6">
        <w:t xml:space="preserve"> projects for which the full investment value was unavailable. Therefore, the estimated total value of investment understates the real value. </w:t>
      </w:r>
    </w:p>
  </w:footnote>
  <w:footnote w:id="4">
    <w:p w14:paraId="675567C5" w14:textId="1EDBF6A4" w:rsidR="00772593" w:rsidRDefault="00772593" w:rsidP="00772593">
      <w:pPr>
        <w:pStyle w:val="FootnoteText"/>
      </w:pPr>
      <w:r w:rsidRPr="005E47B6">
        <w:rPr>
          <w:rStyle w:val="FootnoteReference"/>
        </w:rPr>
        <w:footnoteRef/>
      </w:r>
      <w:r w:rsidRPr="005E47B6">
        <w:t xml:space="preserve"> The full number of rooms was not available for two projects at the time the Tourism Investment Monitor </w:t>
      </w:r>
      <w:r w:rsidR="00615A5C">
        <w:t xml:space="preserve">report </w:t>
      </w:r>
      <w:r w:rsidRPr="005E47B6">
        <w:t>2023-24 was finalised.</w:t>
      </w:r>
      <w:r>
        <w:t xml:space="preserve"> </w:t>
      </w:r>
    </w:p>
  </w:footnote>
  <w:footnote w:id="5">
    <w:p w14:paraId="37362FB2" w14:textId="77777777" w:rsidR="0037231F" w:rsidRDefault="0037231F" w:rsidP="0037231F">
      <w:pPr>
        <w:pStyle w:val="FootnoteText"/>
      </w:pPr>
      <w:r>
        <w:rPr>
          <w:rStyle w:val="FootnoteReference"/>
        </w:rPr>
        <w:footnoteRef/>
      </w:r>
      <w:r>
        <w:t xml:space="preserve"> Numbers may not sum due to rounding. </w:t>
      </w:r>
    </w:p>
  </w:footnote>
  <w:footnote w:id="6">
    <w:p w14:paraId="34D09E73" w14:textId="77777777" w:rsidR="0037231F" w:rsidRDefault="0037231F" w:rsidP="0037231F">
      <w:pPr>
        <w:pStyle w:val="FootnoteText"/>
      </w:pPr>
      <w:r>
        <w:rPr>
          <w:rStyle w:val="FootnoteReference"/>
        </w:rPr>
        <w:footnoteRef/>
      </w:r>
      <w:r>
        <w:t xml:space="preserve"> Numbers may not sum due to rounding. </w:t>
      </w:r>
    </w:p>
  </w:footnote>
  <w:footnote w:id="7">
    <w:p w14:paraId="09A2FAE1" w14:textId="77777777" w:rsidR="00EB790B" w:rsidRDefault="00EB790B" w:rsidP="00EB790B">
      <w:pPr>
        <w:pStyle w:val="FootnoteText"/>
      </w:pPr>
      <w:r>
        <w:rPr>
          <w:rStyle w:val="FootnoteReference"/>
        </w:rPr>
        <w:footnoteRef/>
      </w:r>
      <w:r>
        <w:t xml:space="preserve"> Numbers may not sum due to rounding. </w:t>
      </w:r>
    </w:p>
  </w:footnote>
  <w:footnote w:id="8">
    <w:p w14:paraId="642817C5" w14:textId="77777777" w:rsidR="00D0259A" w:rsidRDefault="00D0259A" w:rsidP="00D0259A">
      <w:pPr>
        <w:pStyle w:val="FootnoteText"/>
      </w:pPr>
      <w:r>
        <w:rPr>
          <w:rStyle w:val="FootnoteReference"/>
        </w:rPr>
        <w:footnoteRef/>
      </w:r>
      <w:r>
        <w:t xml:space="preserve"> Numbers may not sum due to rounding. </w:t>
      </w:r>
    </w:p>
  </w:footnote>
  <w:footnote w:id="9">
    <w:p w14:paraId="32767DDF" w14:textId="77777777" w:rsidR="00EB790B" w:rsidRDefault="00EB790B" w:rsidP="00EB790B">
      <w:pPr>
        <w:pStyle w:val="FootnoteText"/>
      </w:pPr>
      <w:r>
        <w:rPr>
          <w:rStyle w:val="FootnoteReference"/>
        </w:rPr>
        <w:footnoteRef/>
      </w:r>
      <w:r>
        <w:t xml:space="preserve"> Numbers may not sum due to rounding. </w:t>
      </w:r>
    </w:p>
  </w:footnote>
  <w:footnote w:id="10">
    <w:p w14:paraId="5148B144" w14:textId="019FCE88" w:rsidR="00BC676F" w:rsidRDefault="00BC676F" w:rsidP="00BC676F">
      <w:pPr>
        <w:pStyle w:val="FootnoteText"/>
      </w:pPr>
      <w:r>
        <w:rPr>
          <w:rStyle w:val="FootnoteReference"/>
        </w:rPr>
        <w:footnoteRef/>
      </w:r>
      <w:r>
        <w:t xml:space="preserve"> There were </w:t>
      </w:r>
      <w:r w:rsidR="00E843EF">
        <w:t>14</w:t>
      </w:r>
      <w:r w:rsidRPr="002528E5">
        <w:t xml:space="preserve"> mixed-use projects</w:t>
      </w:r>
      <w:r>
        <w:t xml:space="preserve"> for which the full investment value was unavailable. Therefore, the estimated total value of investment understates the real value. </w:t>
      </w:r>
    </w:p>
  </w:footnote>
  <w:footnote w:id="11">
    <w:p w14:paraId="6CC559B6" w14:textId="08FF7FE4" w:rsidR="00BC676F" w:rsidRDefault="00BC676F" w:rsidP="00BC676F">
      <w:pPr>
        <w:pStyle w:val="FootnoteText"/>
      </w:pPr>
      <w:r>
        <w:rPr>
          <w:rStyle w:val="FootnoteReference"/>
        </w:rPr>
        <w:footnoteRef/>
      </w:r>
      <w:r>
        <w:t xml:space="preserve"> The number of rooms is not always available for projects, particularly newly announced mixed-use projects. Given this, the estimated number of rooms reported is likely an underestima</w:t>
      </w:r>
      <w:r w:rsidR="0070397C">
        <w:t>te</w:t>
      </w:r>
      <w:r>
        <w:t xml:space="preserve">. </w:t>
      </w:r>
      <w:r w:rsidR="0070397C">
        <w:t xml:space="preserve">16 </w:t>
      </w:r>
      <w:r>
        <w:t>mixed-use projects</w:t>
      </w:r>
      <w:r w:rsidRPr="002528E5">
        <w:t xml:space="preserve"> </w:t>
      </w:r>
      <w:r>
        <w:t xml:space="preserve">had no room numbers available at the time the Tourism Investment Monitor 2023-24 was finalised. </w:t>
      </w:r>
    </w:p>
  </w:footnote>
  <w:footnote w:id="12">
    <w:p w14:paraId="5A7B3F0D" w14:textId="77777777" w:rsidR="00EB790B" w:rsidRDefault="00EB790B" w:rsidP="00EB790B">
      <w:pPr>
        <w:pStyle w:val="FootnoteText"/>
      </w:pPr>
      <w:r>
        <w:rPr>
          <w:rStyle w:val="FootnoteReference"/>
        </w:rPr>
        <w:footnoteRef/>
      </w:r>
      <w:r>
        <w:t xml:space="preserve"> Numbers may not sum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8043" w14:textId="1C80F9B4" w:rsidR="00F15CC3" w:rsidRDefault="00F15CC3">
    <w:pPr>
      <w:pStyle w:val="Header"/>
    </w:pPr>
    <w:r>
      <w:rPr>
        <w:noProof/>
      </w:rPr>
      <mc:AlternateContent>
        <mc:Choice Requires="wps">
          <w:drawing>
            <wp:anchor distT="0" distB="0" distL="0" distR="0" simplePos="0" relativeHeight="251658241" behindDoc="0" locked="0" layoutInCell="1" allowOverlap="1" wp14:anchorId="1AF83E0B" wp14:editId="55C9A333">
              <wp:simplePos x="635" y="635"/>
              <wp:positionH relativeFrom="page">
                <wp:align>center</wp:align>
              </wp:positionH>
              <wp:positionV relativeFrom="page">
                <wp:align>top</wp:align>
              </wp:positionV>
              <wp:extent cx="551815" cy="508000"/>
              <wp:effectExtent l="0" t="0" r="635" b="6350"/>
              <wp:wrapNone/>
              <wp:docPr id="18891534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18B212D" w14:textId="318499AF"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F83E0B"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618B212D" w14:textId="318499AF"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8291" w14:textId="0872D44D" w:rsidR="00F15CC3" w:rsidRDefault="00F15CC3">
    <w:pPr>
      <w:pStyle w:val="Header"/>
    </w:pPr>
    <w:r>
      <w:rPr>
        <w:noProof/>
      </w:rPr>
      <mc:AlternateContent>
        <mc:Choice Requires="wps">
          <w:drawing>
            <wp:anchor distT="0" distB="0" distL="0" distR="0" simplePos="0" relativeHeight="251658242" behindDoc="0" locked="0" layoutInCell="1" allowOverlap="1" wp14:anchorId="790399A3" wp14:editId="2659105F">
              <wp:simplePos x="635" y="635"/>
              <wp:positionH relativeFrom="page">
                <wp:align>center</wp:align>
              </wp:positionH>
              <wp:positionV relativeFrom="page">
                <wp:align>top</wp:align>
              </wp:positionV>
              <wp:extent cx="551815" cy="508000"/>
              <wp:effectExtent l="0" t="0" r="635" b="6350"/>
              <wp:wrapNone/>
              <wp:docPr id="1936035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C12E476" w14:textId="0BD361CE"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0399A3"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4C12E476" w14:textId="0BD361CE"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D716" w14:textId="2E124840" w:rsidR="003A58AB" w:rsidRDefault="00F15CC3" w:rsidP="007B0021">
    <w:pPr>
      <w:pStyle w:val="Header"/>
    </w:pPr>
    <w:r>
      <w:rPr>
        <w:noProof/>
      </w:rPr>
      <mc:AlternateContent>
        <mc:Choice Requires="wps">
          <w:drawing>
            <wp:anchor distT="0" distB="0" distL="0" distR="0" simplePos="0" relativeHeight="251658240" behindDoc="0" locked="0" layoutInCell="1" allowOverlap="1" wp14:anchorId="0E6A9C17" wp14:editId="6C5AD283">
              <wp:simplePos x="628650" y="447675"/>
              <wp:positionH relativeFrom="page">
                <wp:align>center</wp:align>
              </wp:positionH>
              <wp:positionV relativeFrom="page">
                <wp:align>top</wp:align>
              </wp:positionV>
              <wp:extent cx="551815" cy="508000"/>
              <wp:effectExtent l="0" t="0" r="635" b="6350"/>
              <wp:wrapNone/>
              <wp:docPr id="8752269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BBDB929" w14:textId="2875323D"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A9C17" id="_x0000_t202" coordsize="21600,21600" o:spt="202" path="m,l,21600r21600,l21600,xe">
              <v:stroke joinstyle="miter"/>
              <v:path gradientshapeok="t" o:connecttype="rect"/>
            </v:shapetype>
            <v:shape id="Text Box 1" o:spid="_x0000_s1029"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AYDgIAABwEAAAOAAAAZHJzL2Uyb0RvYy54bWysU01v2zAMvQ/YfxB0X2x3yJ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6bIBgOAgAAHAQA&#10;AA4AAAAAAAAAAAAAAAAALgIAAGRycy9lMm9Eb2MueG1sUEsBAi0AFAAGAAgAAAAhAM1sJoTZAAAA&#10;AwEAAA8AAAAAAAAAAAAAAAAAaAQAAGRycy9kb3ducmV2LnhtbFBLBQYAAAAABAAEAPMAAABuBQAA&#10;AAA=&#10;" filled="f" stroked="f">
              <v:textbox style="mso-fit-shape-to-text:t" inset="0,15pt,0,0">
                <w:txbxContent>
                  <w:p w14:paraId="2BBDB929" w14:textId="2875323D" w:rsidR="00F15CC3" w:rsidRPr="00F15CC3" w:rsidRDefault="00F15CC3" w:rsidP="00F15CC3">
                    <w:pPr>
                      <w:spacing w:after="0"/>
                      <w:rPr>
                        <w:rFonts w:ascii="Calibri" w:eastAsia="Calibri" w:hAnsi="Calibri" w:cs="Calibri"/>
                        <w:noProof/>
                        <w:color w:val="FF0000"/>
                        <w:sz w:val="24"/>
                        <w:szCs w:val="24"/>
                      </w:rPr>
                    </w:pPr>
                    <w:r w:rsidRPr="00F15CC3">
                      <w:rPr>
                        <w:rFonts w:ascii="Calibri" w:eastAsia="Calibri" w:hAnsi="Calibri" w:cs="Calibri"/>
                        <w:noProof/>
                        <w:color w:val="FF0000"/>
                        <w:sz w:val="24"/>
                        <w:szCs w:val="24"/>
                      </w:rPr>
                      <w:t>OFFICIAL</w:t>
                    </w:r>
                  </w:p>
                </w:txbxContent>
              </v:textbox>
              <w10:wrap anchorx="page" anchory="page"/>
            </v:shape>
          </w:pict>
        </mc:Fallback>
      </mc:AlternateContent>
    </w:r>
  </w:p>
  <w:p w14:paraId="669F17EB"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313"/>
    <w:multiLevelType w:val="hybridMultilevel"/>
    <w:tmpl w:val="AF8AD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072F7"/>
    <w:multiLevelType w:val="hybridMultilevel"/>
    <w:tmpl w:val="C5FCECBA"/>
    <w:lvl w:ilvl="0" w:tplc="25DCAE4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9D4D16"/>
    <w:multiLevelType w:val="hybridMultilevel"/>
    <w:tmpl w:val="077ECBF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 w15:restartNumberingAfterBreak="0">
    <w:nsid w:val="0761364F"/>
    <w:multiLevelType w:val="hybridMultilevel"/>
    <w:tmpl w:val="8382B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2114E9"/>
    <w:multiLevelType w:val="hybridMultilevel"/>
    <w:tmpl w:val="DD129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AB61DF"/>
    <w:multiLevelType w:val="hybridMultilevel"/>
    <w:tmpl w:val="0F20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F615A"/>
    <w:multiLevelType w:val="hybridMultilevel"/>
    <w:tmpl w:val="651E9D2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10D32E3E"/>
    <w:multiLevelType w:val="hybridMultilevel"/>
    <w:tmpl w:val="69D46B5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207954"/>
    <w:multiLevelType w:val="multilevel"/>
    <w:tmpl w:val="C19A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E4B1E"/>
    <w:multiLevelType w:val="hybridMultilevel"/>
    <w:tmpl w:val="96B2CAD2"/>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0" w15:restartNumberingAfterBreak="0">
    <w:nsid w:val="176C3FAD"/>
    <w:multiLevelType w:val="hybridMultilevel"/>
    <w:tmpl w:val="07A47E46"/>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1E851B20"/>
    <w:multiLevelType w:val="hybridMultilevel"/>
    <w:tmpl w:val="A8AA0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F1E74AC"/>
    <w:multiLevelType w:val="hybridMultilevel"/>
    <w:tmpl w:val="7624A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0D13803"/>
    <w:multiLevelType w:val="hybridMultilevel"/>
    <w:tmpl w:val="4CE0A76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 w15:restartNumberingAfterBreak="0">
    <w:nsid w:val="213C38A7"/>
    <w:multiLevelType w:val="hybridMultilevel"/>
    <w:tmpl w:val="553E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31AB6"/>
    <w:multiLevelType w:val="hybridMultilevel"/>
    <w:tmpl w:val="F11EA3A6"/>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6" w15:restartNumberingAfterBreak="0">
    <w:nsid w:val="25450203"/>
    <w:multiLevelType w:val="hybridMultilevel"/>
    <w:tmpl w:val="DC7AE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98046E"/>
    <w:multiLevelType w:val="hybridMultilevel"/>
    <w:tmpl w:val="1CDCA59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8" w15:restartNumberingAfterBreak="0">
    <w:nsid w:val="2ADB523F"/>
    <w:multiLevelType w:val="hybridMultilevel"/>
    <w:tmpl w:val="75C8084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E07B8D"/>
    <w:multiLevelType w:val="hybridMultilevel"/>
    <w:tmpl w:val="BFEA188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C64355B"/>
    <w:multiLevelType w:val="hybridMultilevel"/>
    <w:tmpl w:val="5142A6BA"/>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start w:val="1"/>
      <w:numFmt w:val="bullet"/>
      <w:lvlText w:val=""/>
      <w:lvlJc w:val="left"/>
      <w:pPr>
        <w:ind w:left="2230" w:hanging="360"/>
      </w:pPr>
      <w:rPr>
        <w:rFonts w:ascii="Wingdings" w:hAnsi="Wingdings" w:hint="default"/>
      </w:rPr>
    </w:lvl>
    <w:lvl w:ilvl="3" w:tplc="0C090001">
      <w:start w:val="1"/>
      <w:numFmt w:val="bullet"/>
      <w:lvlText w:val=""/>
      <w:lvlJc w:val="left"/>
      <w:pPr>
        <w:ind w:left="2950" w:hanging="360"/>
      </w:pPr>
      <w:rPr>
        <w:rFonts w:ascii="Symbol" w:hAnsi="Symbol" w:hint="default"/>
      </w:rPr>
    </w:lvl>
    <w:lvl w:ilvl="4" w:tplc="0C090003">
      <w:start w:val="1"/>
      <w:numFmt w:val="bullet"/>
      <w:lvlText w:val="o"/>
      <w:lvlJc w:val="left"/>
      <w:pPr>
        <w:ind w:left="3670" w:hanging="360"/>
      </w:pPr>
      <w:rPr>
        <w:rFonts w:ascii="Courier New" w:hAnsi="Courier New" w:cs="Courier New" w:hint="default"/>
      </w:rPr>
    </w:lvl>
    <w:lvl w:ilvl="5" w:tplc="0C090005">
      <w:start w:val="1"/>
      <w:numFmt w:val="bullet"/>
      <w:lvlText w:val=""/>
      <w:lvlJc w:val="left"/>
      <w:pPr>
        <w:ind w:left="4390" w:hanging="360"/>
      </w:pPr>
      <w:rPr>
        <w:rFonts w:ascii="Wingdings" w:hAnsi="Wingdings" w:hint="default"/>
      </w:rPr>
    </w:lvl>
    <w:lvl w:ilvl="6" w:tplc="0C090001">
      <w:start w:val="1"/>
      <w:numFmt w:val="bullet"/>
      <w:lvlText w:val=""/>
      <w:lvlJc w:val="left"/>
      <w:pPr>
        <w:ind w:left="5110" w:hanging="360"/>
      </w:pPr>
      <w:rPr>
        <w:rFonts w:ascii="Symbol" w:hAnsi="Symbol" w:hint="default"/>
      </w:rPr>
    </w:lvl>
    <w:lvl w:ilvl="7" w:tplc="0C090003">
      <w:start w:val="1"/>
      <w:numFmt w:val="bullet"/>
      <w:lvlText w:val="o"/>
      <w:lvlJc w:val="left"/>
      <w:pPr>
        <w:ind w:left="5830" w:hanging="360"/>
      </w:pPr>
      <w:rPr>
        <w:rFonts w:ascii="Courier New" w:hAnsi="Courier New" w:cs="Courier New" w:hint="default"/>
      </w:rPr>
    </w:lvl>
    <w:lvl w:ilvl="8" w:tplc="0C090005">
      <w:start w:val="1"/>
      <w:numFmt w:val="bullet"/>
      <w:lvlText w:val=""/>
      <w:lvlJc w:val="left"/>
      <w:pPr>
        <w:ind w:left="6550" w:hanging="360"/>
      </w:pPr>
      <w:rPr>
        <w:rFonts w:ascii="Wingdings" w:hAnsi="Wingdings" w:hint="default"/>
      </w:rPr>
    </w:lvl>
  </w:abstractNum>
  <w:abstractNum w:abstractNumId="21" w15:restartNumberingAfterBreak="0">
    <w:nsid w:val="2D247AB5"/>
    <w:multiLevelType w:val="hybridMultilevel"/>
    <w:tmpl w:val="95DC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41336"/>
    <w:multiLevelType w:val="hybridMultilevel"/>
    <w:tmpl w:val="7D6C1AB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3" w15:restartNumberingAfterBreak="0">
    <w:nsid w:val="30C41050"/>
    <w:multiLevelType w:val="hybridMultilevel"/>
    <w:tmpl w:val="804A325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4"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2240DF"/>
    <w:multiLevelType w:val="hybridMultilevel"/>
    <w:tmpl w:val="B7B8B55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348474CB"/>
    <w:multiLevelType w:val="hybridMultilevel"/>
    <w:tmpl w:val="C12A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557B27"/>
    <w:multiLevelType w:val="hybridMultilevel"/>
    <w:tmpl w:val="BB32F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D035FCB"/>
    <w:multiLevelType w:val="hybridMultilevel"/>
    <w:tmpl w:val="7F1CC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4026381E"/>
    <w:multiLevelType w:val="hybridMultilevel"/>
    <w:tmpl w:val="48ECF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D903CA"/>
    <w:multiLevelType w:val="hybridMultilevel"/>
    <w:tmpl w:val="0E58C170"/>
    <w:lvl w:ilvl="0" w:tplc="16200BEE">
      <w:start w:val="1"/>
      <w:numFmt w:val="bullet"/>
      <w:pStyle w:val="BulletLis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5C028D6"/>
    <w:multiLevelType w:val="hybridMultilevel"/>
    <w:tmpl w:val="3BF0C14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9270F15"/>
    <w:multiLevelType w:val="hybridMultilevel"/>
    <w:tmpl w:val="6100A970"/>
    <w:lvl w:ilvl="0" w:tplc="0C090005">
      <w:start w:val="1"/>
      <w:numFmt w:val="bullet"/>
      <w:lvlText w:val=""/>
      <w:lvlJc w:val="left"/>
      <w:pPr>
        <w:ind w:left="795" w:hanging="360"/>
      </w:pPr>
      <w:rPr>
        <w:rFonts w:ascii="Wingdings" w:hAnsi="Wingdings"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34" w15:restartNumberingAfterBreak="0">
    <w:nsid w:val="49C305F4"/>
    <w:multiLevelType w:val="hybridMultilevel"/>
    <w:tmpl w:val="B1662DF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5" w15:restartNumberingAfterBreak="0">
    <w:nsid w:val="4C441EBD"/>
    <w:multiLevelType w:val="hybridMultilevel"/>
    <w:tmpl w:val="C2C4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6E5A04"/>
    <w:multiLevelType w:val="hybridMultilevel"/>
    <w:tmpl w:val="7BC8039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0970237"/>
    <w:multiLevelType w:val="hybridMultilevel"/>
    <w:tmpl w:val="517E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F8684A"/>
    <w:multiLevelType w:val="hybridMultilevel"/>
    <w:tmpl w:val="549C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E80AA4"/>
    <w:multiLevelType w:val="hybridMultilevel"/>
    <w:tmpl w:val="DE282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C61A04"/>
    <w:multiLevelType w:val="hybridMultilevel"/>
    <w:tmpl w:val="C39CCB1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2" w15:restartNumberingAfterBreak="0">
    <w:nsid w:val="5CF32729"/>
    <w:multiLevelType w:val="hybridMultilevel"/>
    <w:tmpl w:val="66CAE484"/>
    <w:lvl w:ilvl="0" w:tplc="0C090001">
      <w:start w:val="1"/>
      <w:numFmt w:val="bullet"/>
      <w:lvlText w:val=""/>
      <w:lvlJc w:val="left"/>
      <w:pPr>
        <w:ind w:left="795" w:hanging="360"/>
      </w:pPr>
      <w:rPr>
        <w:rFonts w:ascii="Symbol" w:hAnsi="Symbol"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43" w15:restartNumberingAfterBreak="0">
    <w:nsid w:val="61105E74"/>
    <w:multiLevelType w:val="hybridMultilevel"/>
    <w:tmpl w:val="A942D43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5" w15:restartNumberingAfterBreak="0">
    <w:nsid w:val="69844074"/>
    <w:multiLevelType w:val="hybridMultilevel"/>
    <w:tmpl w:val="C77EB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534FF5"/>
    <w:multiLevelType w:val="hybridMultilevel"/>
    <w:tmpl w:val="4DD2D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A7190B"/>
    <w:multiLevelType w:val="hybridMultilevel"/>
    <w:tmpl w:val="5ACA6D7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1715B6D"/>
    <w:multiLevelType w:val="hybridMultilevel"/>
    <w:tmpl w:val="6128C0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0" w15:restartNumberingAfterBreak="0">
    <w:nsid w:val="76BF50AC"/>
    <w:multiLevelType w:val="hybridMultilevel"/>
    <w:tmpl w:val="1FB48B16"/>
    <w:lvl w:ilvl="0" w:tplc="2FE260E4">
      <w:start w:val="1"/>
      <w:numFmt w:val="bullet"/>
      <w:lvlText w:val=""/>
      <w:lvlJc w:val="left"/>
      <w:pPr>
        <w:tabs>
          <w:tab w:val="num" w:pos="720"/>
        </w:tabs>
        <w:ind w:left="720" w:hanging="360"/>
      </w:pPr>
      <w:rPr>
        <w:rFonts w:ascii="Wingdings" w:hAnsi="Wingdings" w:hint="default"/>
      </w:rPr>
    </w:lvl>
    <w:lvl w:ilvl="1" w:tplc="93B64CCA">
      <w:numFmt w:val="bullet"/>
      <w:lvlText w:val="–"/>
      <w:lvlJc w:val="left"/>
      <w:pPr>
        <w:tabs>
          <w:tab w:val="num" w:pos="1440"/>
        </w:tabs>
        <w:ind w:left="1440" w:hanging="360"/>
      </w:pPr>
      <w:rPr>
        <w:rFonts w:ascii="Calibri" w:hAnsi="Calibri" w:hint="default"/>
      </w:rPr>
    </w:lvl>
    <w:lvl w:ilvl="2" w:tplc="6B3AEAF0" w:tentative="1">
      <w:start w:val="1"/>
      <w:numFmt w:val="bullet"/>
      <w:lvlText w:val=""/>
      <w:lvlJc w:val="left"/>
      <w:pPr>
        <w:tabs>
          <w:tab w:val="num" w:pos="2160"/>
        </w:tabs>
        <w:ind w:left="2160" w:hanging="360"/>
      </w:pPr>
      <w:rPr>
        <w:rFonts w:ascii="Wingdings" w:hAnsi="Wingdings" w:hint="default"/>
      </w:rPr>
    </w:lvl>
    <w:lvl w:ilvl="3" w:tplc="830E383C" w:tentative="1">
      <w:start w:val="1"/>
      <w:numFmt w:val="bullet"/>
      <w:lvlText w:val=""/>
      <w:lvlJc w:val="left"/>
      <w:pPr>
        <w:tabs>
          <w:tab w:val="num" w:pos="2880"/>
        </w:tabs>
        <w:ind w:left="2880" w:hanging="360"/>
      </w:pPr>
      <w:rPr>
        <w:rFonts w:ascii="Wingdings" w:hAnsi="Wingdings" w:hint="default"/>
      </w:rPr>
    </w:lvl>
    <w:lvl w:ilvl="4" w:tplc="BD6C88C4" w:tentative="1">
      <w:start w:val="1"/>
      <w:numFmt w:val="bullet"/>
      <w:lvlText w:val=""/>
      <w:lvlJc w:val="left"/>
      <w:pPr>
        <w:tabs>
          <w:tab w:val="num" w:pos="3600"/>
        </w:tabs>
        <w:ind w:left="3600" w:hanging="360"/>
      </w:pPr>
      <w:rPr>
        <w:rFonts w:ascii="Wingdings" w:hAnsi="Wingdings" w:hint="default"/>
      </w:rPr>
    </w:lvl>
    <w:lvl w:ilvl="5" w:tplc="424CF2B2" w:tentative="1">
      <w:start w:val="1"/>
      <w:numFmt w:val="bullet"/>
      <w:lvlText w:val=""/>
      <w:lvlJc w:val="left"/>
      <w:pPr>
        <w:tabs>
          <w:tab w:val="num" w:pos="4320"/>
        </w:tabs>
        <w:ind w:left="4320" w:hanging="360"/>
      </w:pPr>
      <w:rPr>
        <w:rFonts w:ascii="Wingdings" w:hAnsi="Wingdings" w:hint="default"/>
      </w:rPr>
    </w:lvl>
    <w:lvl w:ilvl="6" w:tplc="201C5BA8" w:tentative="1">
      <w:start w:val="1"/>
      <w:numFmt w:val="bullet"/>
      <w:lvlText w:val=""/>
      <w:lvlJc w:val="left"/>
      <w:pPr>
        <w:tabs>
          <w:tab w:val="num" w:pos="5040"/>
        </w:tabs>
        <w:ind w:left="5040" w:hanging="360"/>
      </w:pPr>
      <w:rPr>
        <w:rFonts w:ascii="Wingdings" w:hAnsi="Wingdings" w:hint="default"/>
      </w:rPr>
    </w:lvl>
    <w:lvl w:ilvl="7" w:tplc="943E81CE" w:tentative="1">
      <w:start w:val="1"/>
      <w:numFmt w:val="bullet"/>
      <w:lvlText w:val=""/>
      <w:lvlJc w:val="left"/>
      <w:pPr>
        <w:tabs>
          <w:tab w:val="num" w:pos="5760"/>
        </w:tabs>
        <w:ind w:left="5760" w:hanging="360"/>
      </w:pPr>
      <w:rPr>
        <w:rFonts w:ascii="Wingdings" w:hAnsi="Wingdings" w:hint="default"/>
      </w:rPr>
    </w:lvl>
    <w:lvl w:ilvl="8" w:tplc="2508FC1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0D6C97"/>
    <w:multiLevelType w:val="hybridMultilevel"/>
    <w:tmpl w:val="78527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833EC6"/>
    <w:multiLevelType w:val="hybridMultilevel"/>
    <w:tmpl w:val="FF3C6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C10FA5"/>
    <w:multiLevelType w:val="hybridMultilevel"/>
    <w:tmpl w:val="10C6FF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4" w15:restartNumberingAfterBreak="0">
    <w:nsid w:val="7BD56E59"/>
    <w:multiLevelType w:val="hybridMultilevel"/>
    <w:tmpl w:val="9BD48E06"/>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5" w15:restartNumberingAfterBreak="0">
    <w:nsid w:val="7C0E06DB"/>
    <w:multiLevelType w:val="hybridMultilevel"/>
    <w:tmpl w:val="790E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FAE0F05"/>
    <w:multiLevelType w:val="hybridMultilevel"/>
    <w:tmpl w:val="CBAC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9639102">
    <w:abstractNumId w:val="31"/>
  </w:num>
  <w:num w:numId="2" w16cid:durableId="784662544">
    <w:abstractNumId w:val="36"/>
  </w:num>
  <w:num w:numId="3" w16cid:durableId="1442451738">
    <w:abstractNumId w:val="36"/>
    <w:lvlOverride w:ilvl="0">
      <w:startOverride w:val="1"/>
    </w:lvlOverride>
  </w:num>
  <w:num w:numId="4" w16cid:durableId="1562522304">
    <w:abstractNumId w:val="36"/>
    <w:lvlOverride w:ilvl="0">
      <w:startOverride w:val="1"/>
    </w:lvlOverride>
  </w:num>
  <w:num w:numId="5" w16cid:durableId="1125929345">
    <w:abstractNumId w:val="36"/>
    <w:lvlOverride w:ilvl="0">
      <w:startOverride w:val="1"/>
    </w:lvlOverride>
  </w:num>
  <w:num w:numId="6" w16cid:durableId="641621793">
    <w:abstractNumId w:val="24"/>
  </w:num>
  <w:num w:numId="7" w16cid:durableId="2117015349">
    <w:abstractNumId w:val="49"/>
  </w:num>
  <w:num w:numId="8" w16cid:durableId="116532335">
    <w:abstractNumId w:val="44"/>
  </w:num>
  <w:num w:numId="9" w16cid:durableId="1678850544">
    <w:abstractNumId w:val="10"/>
  </w:num>
  <w:num w:numId="10" w16cid:durableId="2080247015">
    <w:abstractNumId w:val="50"/>
  </w:num>
  <w:num w:numId="11" w16cid:durableId="2135782231">
    <w:abstractNumId w:val="20"/>
  </w:num>
  <w:num w:numId="12" w16cid:durableId="2124422378">
    <w:abstractNumId w:val="55"/>
  </w:num>
  <w:num w:numId="13" w16cid:durableId="1071199180">
    <w:abstractNumId w:val="28"/>
  </w:num>
  <w:num w:numId="14" w16cid:durableId="1345791072">
    <w:abstractNumId w:val="27"/>
  </w:num>
  <w:num w:numId="15" w16cid:durableId="1726443520">
    <w:abstractNumId w:val="3"/>
  </w:num>
  <w:num w:numId="16" w16cid:durableId="306932191">
    <w:abstractNumId w:val="11"/>
  </w:num>
  <w:num w:numId="17" w16cid:durableId="15233251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5577349">
    <w:abstractNumId w:val="1"/>
  </w:num>
  <w:num w:numId="19" w16cid:durableId="788670035">
    <w:abstractNumId w:val="12"/>
  </w:num>
  <w:num w:numId="20" w16cid:durableId="988440572">
    <w:abstractNumId w:val="4"/>
  </w:num>
  <w:num w:numId="21" w16cid:durableId="497306617">
    <w:abstractNumId w:val="38"/>
  </w:num>
  <w:num w:numId="22" w16cid:durableId="762069666">
    <w:abstractNumId w:val="48"/>
  </w:num>
  <w:num w:numId="23" w16cid:durableId="139662194">
    <w:abstractNumId w:val="18"/>
  </w:num>
  <w:num w:numId="24" w16cid:durableId="1075202300">
    <w:abstractNumId w:val="7"/>
  </w:num>
  <w:num w:numId="25" w16cid:durableId="13725247">
    <w:abstractNumId w:val="47"/>
  </w:num>
  <w:num w:numId="26" w16cid:durableId="1689527115">
    <w:abstractNumId w:val="32"/>
  </w:num>
  <w:num w:numId="27" w16cid:durableId="740250461">
    <w:abstractNumId w:val="19"/>
  </w:num>
  <w:num w:numId="28" w16cid:durableId="1060055430">
    <w:abstractNumId w:val="33"/>
  </w:num>
  <w:num w:numId="29" w16cid:durableId="222983838">
    <w:abstractNumId w:val="54"/>
  </w:num>
  <w:num w:numId="30" w16cid:durableId="1964341157">
    <w:abstractNumId w:val="23"/>
  </w:num>
  <w:num w:numId="31" w16cid:durableId="2046639783">
    <w:abstractNumId w:val="9"/>
  </w:num>
  <w:num w:numId="32" w16cid:durableId="417793914">
    <w:abstractNumId w:val="17"/>
  </w:num>
  <w:num w:numId="33" w16cid:durableId="1970931998">
    <w:abstractNumId w:val="15"/>
  </w:num>
  <w:num w:numId="34" w16cid:durableId="214465402">
    <w:abstractNumId w:val="34"/>
  </w:num>
  <w:num w:numId="35" w16cid:durableId="704794859">
    <w:abstractNumId w:val="2"/>
  </w:num>
  <w:num w:numId="36" w16cid:durableId="453905589">
    <w:abstractNumId w:val="22"/>
  </w:num>
  <w:num w:numId="37" w16cid:durableId="1032262973">
    <w:abstractNumId w:val="46"/>
  </w:num>
  <w:num w:numId="38" w16cid:durableId="211112326">
    <w:abstractNumId w:val="30"/>
  </w:num>
  <w:num w:numId="39" w16cid:durableId="1989431804">
    <w:abstractNumId w:val="51"/>
  </w:num>
  <w:num w:numId="40" w16cid:durableId="577330486">
    <w:abstractNumId w:val="14"/>
  </w:num>
  <w:num w:numId="41" w16cid:durableId="2033871328">
    <w:abstractNumId w:val="0"/>
  </w:num>
  <w:num w:numId="42" w16cid:durableId="1052777429">
    <w:abstractNumId w:val="45"/>
  </w:num>
  <w:num w:numId="43" w16cid:durableId="140318759">
    <w:abstractNumId w:val="42"/>
  </w:num>
  <w:num w:numId="44" w16cid:durableId="1122503789">
    <w:abstractNumId w:val="43"/>
  </w:num>
  <w:num w:numId="45" w16cid:durableId="1039937641">
    <w:abstractNumId w:val="41"/>
  </w:num>
  <w:num w:numId="46" w16cid:durableId="13388322">
    <w:abstractNumId w:val="6"/>
  </w:num>
  <w:num w:numId="47" w16cid:durableId="483664778">
    <w:abstractNumId w:val="13"/>
  </w:num>
  <w:num w:numId="48" w16cid:durableId="1633245271">
    <w:abstractNumId w:val="25"/>
  </w:num>
  <w:num w:numId="49" w16cid:durableId="568733943">
    <w:abstractNumId w:val="37"/>
  </w:num>
  <w:num w:numId="50" w16cid:durableId="1530223792">
    <w:abstractNumId w:val="8"/>
  </w:num>
  <w:num w:numId="51" w16cid:durableId="1772237294">
    <w:abstractNumId w:val="16"/>
  </w:num>
  <w:num w:numId="52" w16cid:durableId="1639218761">
    <w:abstractNumId w:val="52"/>
  </w:num>
  <w:num w:numId="53" w16cid:durableId="150298945">
    <w:abstractNumId w:val="39"/>
  </w:num>
  <w:num w:numId="54" w16cid:durableId="913509658">
    <w:abstractNumId w:val="35"/>
  </w:num>
  <w:num w:numId="55" w16cid:durableId="804857152">
    <w:abstractNumId w:val="29"/>
  </w:num>
  <w:num w:numId="56" w16cid:durableId="2089689214">
    <w:abstractNumId w:val="21"/>
  </w:num>
  <w:num w:numId="57" w16cid:durableId="693652975">
    <w:abstractNumId w:val="5"/>
  </w:num>
  <w:num w:numId="58" w16cid:durableId="1858734298">
    <w:abstractNumId w:val="29"/>
  </w:num>
  <w:num w:numId="59" w16cid:durableId="585771827">
    <w:abstractNumId w:val="56"/>
  </w:num>
  <w:num w:numId="60" w16cid:durableId="1845052559">
    <w:abstractNumId w:val="40"/>
  </w:num>
  <w:num w:numId="61" w16cid:durableId="324821976">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BC"/>
    <w:rsid w:val="000000AE"/>
    <w:rsid w:val="000002AF"/>
    <w:rsid w:val="0000044E"/>
    <w:rsid w:val="00000570"/>
    <w:rsid w:val="00000DDD"/>
    <w:rsid w:val="000011E9"/>
    <w:rsid w:val="000011EE"/>
    <w:rsid w:val="000012A7"/>
    <w:rsid w:val="00001551"/>
    <w:rsid w:val="00001ED4"/>
    <w:rsid w:val="0000216D"/>
    <w:rsid w:val="000021CB"/>
    <w:rsid w:val="000025A6"/>
    <w:rsid w:val="0000312F"/>
    <w:rsid w:val="00003DE5"/>
    <w:rsid w:val="00003EB8"/>
    <w:rsid w:val="00004179"/>
    <w:rsid w:val="00004B09"/>
    <w:rsid w:val="000051F6"/>
    <w:rsid w:val="000054E6"/>
    <w:rsid w:val="000059C5"/>
    <w:rsid w:val="00006209"/>
    <w:rsid w:val="00006598"/>
    <w:rsid w:val="000068CF"/>
    <w:rsid w:val="000068E6"/>
    <w:rsid w:val="00006912"/>
    <w:rsid w:val="00006FAA"/>
    <w:rsid w:val="000075DF"/>
    <w:rsid w:val="000078EA"/>
    <w:rsid w:val="000079D7"/>
    <w:rsid w:val="00007A0E"/>
    <w:rsid w:val="00010440"/>
    <w:rsid w:val="00010503"/>
    <w:rsid w:val="000108CC"/>
    <w:rsid w:val="00010F4D"/>
    <w:rsid w:val="00011062"/>
    <w:rsid w:val="0001193C"/>
    <w:rsid w:val="00011F45"/>
    <w:rsid w:val="000120D2"/>
    <w:rsid w:val="000120FF"/>
    <w:rsid w:val="000125A0"/>
    <w:rsid w:val="00012854"/>
    <w:rsid w:val="00012F29"/>
    <w:rsid w:val="00012FC2"/>
    <w:rsid w:val="00012FD7"/>
    <w:rsid w:val="000132E9"/>
    <w:rsid w:val="0001349C"/>
    <w:rsid w:val="00013592"/>
    <w:rsid w:val="00013A6C"/>
    <w:rsid w:val="00013AE2"/>
    <w:rsid w:val="00013CA7"/>
    <w:rsid w:val="00013F0F"/>
    <w:rsid w:val="000145FD"/>
    <w:rsid w:val="00014889"/>
    <w:rsid w:val="00014918"/>
    <w:rsid w:val="00014BCD"/>
    <w:rsid w:val="0001553B"/>
    <w:rsid w:val="00015987"/>
    <w:rsid w:val="00015AC8"/>
    <w:rsid w:val="00015C07"/>
    <w:rsid w:val="00015F84"/>
    <w:rsid w:val="00016390"/>
    <w:rsid w:val="000163D5"/>
    <w:rsid w:val="000163DE"/>
    <w:rsid w:val="00016421"/>
    <w:rsid w:val="00016621"/>
    <w:rsid w:val="0001677C"/>
    <w:rsid w:val="00016D69"/>
    <w:rsid w:val="00016EC4"/>
    <w:rsid w:val="000172B4"/>
    <w:rsid w:val="00017574"/>
    <w:rsid w:val="00020055"/>
    <w:rsid w:val="0002040B"/>
    <w:rsid w:val="00020C04"/>
    <w:rsid w:val="000218BB"/>
    <w:rsid w:val="00022160"/>
    <w:rsid w:val="00022201"/>
    <w:rsid w:val="00022471"/>
    <w:rsid w:val="000224D0"/>
    <w:rsid w:val="00022527"/>
    <w:rsid w:val="000228A7"/>
    <w:rsid w:val="00022A5E"/>
    <w:rsid w:val="00022E73"/>
    <w:rsid w:val="00023200"/>
    <w:rsid w:val="0002339A"/>
    <w:rsid w:val="0002367B"/>
    <w:rsid w:val="00023926"/>
    <w:rsid w:val="000239D3"/>
    <w:rsid w:val="00023F84"/>
    <w:rsid w:val="00024057"/>
    <w:rsid w:val="00024213"/>
    <w:rsid w:val="00024D75"/>
    <w:rsid w:val="00024F58"/>
    <w:rsid w:val="00025908"/>
    <w:rsid w:val="00025A43"/>
    <w:rsid w:val="00026A63"/>
    <w:rsid w:val="00026AB9"/>
    <w:rsid w:val="00026CF9"/>
    <w:rsid w:val="00026DE2"/>
    <w:rsid w:val="00027323"/>
    <w:rsid w:val="00027462"/>
    <w:rsid w:val="00027694"/>
    <w:rsid w:val="00027931"/>
    <w:rsid w:val="00027CD8"/>
    <w:rsid w:val="00030600"/>
    <w:rsid w:val="0003079A"/>
    <w:rsid w:val="00031C0D"/>
    <w:rsid w:val="00031F5C"/>
    <w:rsid w:val="0003202D"/>
    <w:rsid w:val="0003215D"/>
    <w:rsid w:val="0003221F"/>
    <w:rsid w:val="00032673"/>
    <w:rsid w:val="000327D3"/>
    <w:rsid w:val="00032897"/>
    <w:rsid w:val="00032A68"/>
    <w:rsid w:val="000332CD"/>
    <w:rsid w:val="000334CA"/>
    <w:rsid w:val="0003363B"/>
    <w:rsid w:val="00033770"/>
    <w:rsid w:val="000337D7"/>
    <w:rsid w:val="000339D2"/>
    <w:rsid w:val="00033D3E"/>
    <w:rsid w:val="000342B2"/>
    <w:rsid w:val="00034478"/>
    <w:rsid w:val="0003500E"/>
    <w:rsid w:val="00035889"/>
    <w:rsid w:val="00035981"/>
    <w:rsid w:val="00035E31"/>
    <w:rsid w:val="00035E3A"/>
    <w:rsid w:val="00035EF1"/>
    <w:rsid w:val="00036082"/>
    <w:rsid w:val="000364A0"/>
    <w:rsid w:val="000364CC"/>
    <w:rsid w:val="0003659C"/>
    <w:rsid w:val="000365A7"/>
    <w:rsid w:val="000366AF"/>
    <w:rsid w:val="00036E01"/>
    <w:rsid w:val="00036E09"/>
    <w:rsid w:val="00037160"/>
    <w:rsid w:val="00037250"/>
    <w:rsid w:val="00037675"/>
    <w:rsid w:val="000377BD"/>
    <w:rsid w:val="000379EF"/>
    <w:rsid w:val="00037B58"/>
    <w:rsid w:val="000402F0"/>
    <w:rsid w:val="00040628"/>
    <w:rsid w:val="000408A5"/>
    <w:rsid w:val="00040BE0"/>
    <w:rsid w:val="00040EDC"/>
    <w:rsid w:val="0004142E"/>
    <w:rsid w:val="0004171F"/>
    <w:rsid w:val="00041813"/>
    <w:rsid w:val="00041B15"/>
    <w:rsid w:val="00041E76"/>
    <w:rsid w:val="00042165"/>
    <w:rsid w:val="00042309"/>
    <w:rsid w:val="0004230B"/>
    <w:rsid w:val="00042E66"/>
    <w:rsid w:val="000432A2"/>
    <w:rsid w:val="00043EAC"/>
    <w:rsid w:val="000447C0"/>
    <w:rsid w:val="000447C2"/>
    <w:rsid w:val="00044E5F"/>
    <w:rsid w:val="00044F5D"/>
    <w:rsid w:val="00045717"/>
    <w:rsid w:val="00045F29"/>
    <w:rsid w:val="00046042"/>
    <w:rsid w:val="0004608D"/>
    <w:rsid w:val="00046090"/>
    <w:rsid w:val="000461C4"/>
    <w:rsid w:val="000462B3"/>
    <w:rsid w:val="000466C5"/>
    <w:rsid w:val="00046AF5"/>
    <w:rsid w:val="00046B1B"/>
    <w:rsid w:val="00046B39"/>
    <w:rsid w:val="00046F02"/>
    <w:rsid w:val="000476F6"/>
    <w:rsid w:val="000477D3"/>
    <w:rsid w:val="0004790A"/>
    <w:rsid w:val="00050215"/>
    <w:rsid w:val="00050C39"/>
    <w:rsid w:val="0005105F"/>
    <w:rsid w:val="0005161C"/>
    <w:rsid w:val="000518FF"/>
    <w:rsid w:val="00051C00"/>
    <w:rsid w:val="00051D58"/>
    <w:rsid w:val="00051F20"/>
    <w:rsid w:val="0005206C"/>
    <w:rsid w:val="00052713"/>
    <w:rsid w:val="000528FE"/>
    <w:rsid w:val="00052ADF"/>
    <w:rsid w:val="00052B60"/>
    <w:rsid w:val="00052BEA"/>
    <w:rsid w:val="0005305E"/>
    <w:rsid w:val="000532A6"/>
    <w:rsid w:val="000537BC"/>
    <w:rsid w:val="0005388A"/>
    <w:rsid w:val="00053B0F"/>
    <w:rsid w:val="00053BA0"/>
    <w:rsid w:val="00053CE4"/>
    <w:rsid w:val="0005420C"/>
    <w:rsid w:val="0005472B"/>
    <w:rsid w:val="000548D7"/>
    <w:rsid w:val="00054FB6"/>
    <w:rsid w:val="000550D4"/>
    <w:rsid w:val="0005518C"/>
    <w:rsid w:val="00055284"/>
    <w:rsid w:val="000553F8"/>
    <w:rsid w:val="00055762"/>
    <w:rsid w:val="00055CB3"/>
    <w:rsid w:val="00055E01"/>
    <w:rsid w:val="000560D0"/>
    <w:rsid w:val="0005621C"/>
    <w:rsid w:val="0005643D"/>
    <w:rsid w:val="000569A2"/>
    <w:rsid w:val="00057E66"/>
    <w:rsid w:val="00060B38"/>
    <w:rsid w:val="00060C4B"/>
    <w:rsid w:val="00060FD8"/>
    <w:rsid w:val="000612DA"/>
    <w:rsid w:val="0006164C"/>
    <w:rsid w:val="00061752"/>
    <w:rsid w:val="000619EA"/>
    <w:rsid w:val="00061D6F"/>
    <w:rsid w:val="00062640"/>
    <w:rsid w:val="00062DD6"/>
    <w:rsid w:val="000632DD"/>
    <w:rsid w:val="0006391B"/>
    <w:rsid w:val="000639B8"/>
    <w:rsid w:val="00063BE9"/>
    <w:rsid w:val="00064E9E"/>
    <w:rsid w:val="000653E6"/>
    <w:rsid w:val="0006559B"/>
    <w:rsid w:val="00065888"/>
    <w:rsid w:val="00065EFF"/>
    <w:rsid w:val="0006605F"/>
    <w:rsid w:val="000668BC"/>
    <w:rsid w:val="000668F0"/>
    <w:rsid w:val="00066FBA"/>
    <w:rsid w:val="00066FE9"/>
    <w:rsid w:val="000671AC"/>
    <w:rsid w:val="000671E7"/>
    <w:rsid w:val="000674BF"/>
    <w:rsid w:val="000676F5"/>
    <w:rsid w:val="0006781D"/>
    <w:rsid w:val="00070E13"/>
    <w:rsid w:val="00070FDF"/>
    <w:rsid w:val="0007109B"/>
    <w:rsid w:val="00071150"/>
    <w:rsid w:val="00071F8E"/>
    <w:rsid w:val="00072C34"/>
    <w:rsid w:val="00072CBF"/>
    <w:rsid w:val="00072F78"/>
    <w:rsid w:val="000730E1"/>
    <w:rsid w:val="000737DC"/>
    <w:rsid w:val="00073A29"/>
    <w:rsid w:val="00073A4D"/>
    <w:rsid w:val="00073B90"/>
    <w:rsid w:val="00073E2D"/>
    <w:rsid w:val="000742AE"/>
    <w:rsid w:val="00074AF2"/>
    <w:rsid w:val="0007538A"/>
    <w:rsid w:val="000759F1"/>
    <w:rsid w:val="00076555"/>
    <w:rsid w:val="00076560"/>
    <w:rsid w:val="000766D3"/>
    <w:rsid w:val="00076867"/>
    <w:rsid w:val="000769AB"/>
    <w:rsid w:val="00077671"/>
    <w:rsid w:val="000776E8"/>
    <w:rsid w:val="00077B4E"/>
    <w:rsid w:val="00077C72"/>
    <w:rsid w:val="00077EFD"/>
    <w:rsid w:val="000800A4"/>
    <w:rsid w:val="00080428"/>
    <w:rsid w:val="00080429"/>
    <w:rsid w:val="000804AB"/>
    <w:rsid w:val="00080A38"/>
    <w:rsid w:val="00080F03"/>
    <w:rsid w:val="000816EC"/>
    <w:rsid w:val="00081A62"/>
    <w:rsid w:val="00081C24"/>
    <w:rsid w:val="00081D0D"/>
    <w:rsid w:val="00081D13"/>
    <w:rsid w:val="00081E87"/>
    <w:rsid w:val="00082108"/>
    <w:rsid w:val="000826D3"/>
    <w:rsid w:val="0008279A"/>
    <w:rsid w:val="00082F22"/>
    <w:rsid w:val="00083882"/>
    <w:rsid w:val="00083EF7"/>
    <w:rsid w:val="00084720"/>
    <w:rsid w:val="00084A91"/>
    <w:rsid w:val="00084AD1"/>
    <w:rsid w:val="00085209"/>
    <w:rsid w:val="000856EC"/>
    <w:rsid w:val="00085828"/>
    <w:rsid w:val="000858A5"/>
    <w:rsid w:val="00085F9A"/>
    <w:rsid w:val="000864AE"/>
    <w:rsid w:val="00086533"/>
    <w:rsid w:val="000865F2"/>
    <w:rsid w:val="00086C50"/>
    <w:rsid w:val="00086DB9"/>
    <w:rsid w:val="00087016"/>
    <w:rsid w:val="0008772B"/>
    <w:rsid w:val="00087874"/>
    <w:rsid w:val="0009067C"/>
    <w:rsid w:val="00090706"/>
    <w:rsid w:val="00090F00"/>
    <w:rsid w:val="000913B7"/>
    <w:rsid w:val="00091508"/>
    <w:rsid w:val="000918EB"/>
    <w:rsid w:val="00091BFD"/>
    <w:rsid w:val="00091F89"/>
    <w:rsid w:val="0009260E"/>
    <w:rsid w:val="0009269F"/>
    <w:rsid w:val="00092EAA"/>
    <w:rsid w:val="00093543"/>
    <w:rsid w:val="00093906"/>
    <w:rsid w:val="00093ECE"/>
    <w:rsid w:val="00094BF4"/>
    <w:rsid w:val="00094E90"/>
    <w:rsid w:val="0009513A"/>
    <w:rsid w:val="00095473"/>
    <w:rsid w:val="00095629"/>
    <w:rsid w:val="000958AA"/>
    <w:rsid w:val="00096B28"/>
    <w:rsid w:val="00096FAC"/>
    <w:rsid w:val="00097097"/>
    <w:rsid w:val="0009718F"/>
    <w:rsid w:val="00097201"/>
    <w:rsid w:val="0009745E"/>
    <w:rsid w:val="00097510"/>
    <w:rsid w:val="00097535"/>
    <w:rsid w:val="000979B1"/>
    <w:rsid w:val="000A022F"/>
    <w:rsid w:val="000A0815"/>
    <w:rsid w:val="000A0C27"/>
    <w:rsid w:val="000A1C98"/>
    <w:rsid w:val="000A20E5"/>
    <w:rsid w:val="000A2101"/>
    <w:rsid w:val="000A25F6"/>
    <w:rsid w:val="000A2971"/>
    <w:rsid w:val="000A2C47"/>
    <w:rsid w:val="000A2E11"/>
    <w:rsid w:val="000A3347"/>
    <w:rsid w:val="000A35A8"/>
    <w:rsid w:val="000A365D"/>
    <w:rsid w:val="000A39C7"/>
    <w:rsid w:val="000A3A9C"/>
    <w:rsid w:val="000A3D1F"/>
    <w:rsid w:val="000A3D56"/>
    <w:rsid w:val="000A3D59"/>
    <w:rsid w:val="000A3EAB"/>
    <w:rsid w:val="000A4488"/>
    <w:rsid w:val="000A4532"/>
    <w:rsid w:val="000A464E"/>
    <w:rsid w:val="000A5087"/>
    <w:rsid w:val="000A5550"/>
    <w:rsid w:val="000A5E60"/>
    <w:rsid w:val="000A6008"/>
    <w:rsid w:val="000A6354"/>
    <w:rsid w:val="000A75C9"/>
    <w:rsid w:val="000A7CAE"/>
    <w:rsid w:val="000B0096"/>
    <w:rsid w:val="000B00B4"/>
    <w:rsid w:val="000B037E"/>
    <w:rsid w:val="000B06DF"/>
    <w:rsid w:val="000B0F61"/>
    <w:rsid w:val="000B2157"/>
    <w:rsid w:val="000B2427"/>
    <w:rsid w:val="000B2CF9"/>
    <w:rsid w:val="000B2F0D"/>
    <w:rsid w:val="000B35D5"/>
    <w:rsid w:val="000B378C"/>
    <w:rsid w:val="000B398F"/>
    <w:rsid w:val="000B3DB6"/>
    <w:rsid w:val="000B456A"/>
    <w:rsid w:val="000B4F9F"/>
    <w:rsid w:val="000B50FC"/>
    <w:rsid w:val="000B526D"/>
    <w:rsid w:val="000B56B7"/>
    <w:rsid w:val="000B5757"/>
    <w:rsid w:val="000B5CE1"/>
    <w:rsid w:val="000B5EAF"/>
    <w:rsid w:val="000B5F5B"/>
    <w:rsid w:val="000B60D4"/>
    <w:rsid w:val="000B647A"/>
    <w:rsid w:val="000B74F8"/>
    <w:rsid w:val="000B75D5"/>
    <w:rsid w:val="000B7839"/>
    <w:rsid w:val="000B794B"/>
    <w:rsid w:val="000C0184"/>
    <w:rsid w:val="000C06E2"/>
    <w:rsid w:val="000C07D2"/>
    <w:rsid w:val="000C148B"/>
    <w:rsid w:val="000C16C8"/>
    <w:rsid w:val="000C1A29"/>
    <w:rsid w:val="000C1F29"/>
    <w:rsid w:val="000C2370"/>
    <w:rsid w:val="000C2647"/>
    <w:rsid w:val="000C27A9"/>
    <w:rsid w:val="000C2A15"/>
    <w:rsid w:val="000C2EE1"/>
    <w:rsid w:val="000C349D"/>
    <w:rsid w:val="000C3921"/>
    <w:rsid w:val="000C3DC1"/>
    <w:rsid w:val="000C43F3"/>
    <w:rsid w:val="000C4879"/>
    <w:rsid w:val="000C4A2B"/>
    <w:rsid w:val="000C4BB9"/>
    <w:rsid w:val="000C4DDF"/>
    <w:rsid w:val="000C5394"/>
    <w:rsid w:val="000C59C8"/>
    <w:rsid w:val="000C61F4"/>
    <w:rsid w:val="000C6513"/>
    <w:rsid w:val="000C6517"/>
    <w:rsid w:val="000C65AE"/>
    <w:rsid w:val="000C6647"/>
    <w:rsid w:val="000C6E77"/>
    <w:rsid w:val="000C6E83"/>
    <w:rsid w:val="000C723D"/>
    <w:rsid w:val="000C734F"/>
    <w:rsid w:val="000C7BDB"/>
    <w:rsid w:val="000D0053"/>
    <w:rsid w:val="000D043F"/>
    <w:rsid w:val="000D0564"/>
    <w:rsid w:val="000D0788"/>
    <w:rsid w:val="000D099A"/>
    <w:rsid w:val="000D1BB6"/>
    <w:rsid w:val="000D1C3A"/>
    <w:rsid w:val="000D20CE"/>
    <w:rsid w:val="000D21A6"/>
    <w:rsid w:val="000D3001"/>
    <w:rsid w:val="000D31D1"/>
    <w:rsid w:val="000D3D1B"/>
    <w:rsid w:val="000D426B"/>
    <w:rsid w:val="000D4F06"/>
    <w:rsid w:val="000D4F8A"/>
    <w:rsid w:val="000D513B"/>
    <w:rsid w:val="000D52E9"/>
    <w:rsid w:val="000D5491"/>
    <w:rsid w:val="000D58DE"/>
    <w:rsid w:val="000D5AF1"/>
    <w:rsid w:val="000D6104"/>
    <w:rsid w:val="000D65AF"/>
    <w:rsid w:val="000D6A7B"/>
    <w:rsid w:val="000D6F8A"/>
    <w:rsid w:val="000D72A4"/>
    <w:rsid w:val="000D7A9E"/>
    <w:rsid w:val="000E01E3"/>
    <w:rsid w:val="000E1337"/>
    <w:rsid w:val="000E1346"/>
    <w:rsid w:val="000E17C6"/>
    <w:rsid w:val="000E1B02"/>
    <w:rsid w:val="000E1F4D"/>
    <w:rsid w:val="000E2958"/>
    <w:rsid w:val="000E2B52"/>
    <w:rsid w:val="000E2E33"/>
    <w:rsid w:val="000E374D"/>
    <w:rsid w:val="000E3885"/>
    <w:rsid w:val="000E38E7"/>
    <w:rsid w:val="000E3B78"/>
    <w:rsid w:val="000E4498"/>
    <w:rsid w:val="000E455E"/>
    <w:rsid w:val="000E50EA"/>
    <w:rsid w:val="000E5311"/>
    <w:rsid w:val="000E5F0F"/>
    <w:rsid w:val="000E6D45"/>
    <w:rsid w:val="000E6E0F"/>
    <w:rsid w:val="000E6E79"/>
    <w:rsid w:val="000E7E86"/>
    <w:rsid w:val="000E7F75"/>
    <w:rsid w:val="000F02B2"/>
    <w:rsid w:val="000F07BB"/>
    <w:rsid w:val="000F096B"/>
    <w:rsid w:val="000F0B80"/>
    <w:rsid w:val="000F1271"/>
    <w:rsid w:val="000F18F5"/>
    <w:rsid w:val="000F2880"/>
    <w:rsid w:val="000F2D72"/>
    <w:rsid w:val="000F2E48"/>
    <w:rsid w:val="000F3031"/>
    <w:rsid w:val="000F3921"/>
    <w:rsid w:val="000F3DCF"/>
    <w:rsid w:val="000F3EEC"/>
    <w:rsid w:val="000F4252"/>
    <w:rsid w:val="000F4C91"/>
    <w:rsid w:val="000F5E75"/>
    <w:rsid w:val="000F6C1F"/>
    <w:rsid w:val="000F6F98"/>
    <w:rsid w:val="000F7018"/>
    <w:rsid w:val="000F7308"/>
    <w:rsid w:val="000F7545"/>
    <w:rsid w:val="000F7557"/>
    <w:rsid w:val="000F7622"/>
    <w:rsid w:val="000F76BB"/>
    <w:rsid w:val="000F7797"/>
    <w:rsid w:val="000F7A11"/>
    <w:rsid w:val="000F7D3B"/>
    <w:rsid w:val="001000FC"/>
    <w:rsid w:val="0010029D"/>
    <w:rsid w:val="00100368"/>
    <w:rsid w:val="00100EE3"/>
    <w:rsid w:val="0010118D"/>
    <w:rsid w:val="0010138A"/>
    <w:rsid w:val="0010182C"/>
    <w:rsid w:val="00101B0A"/>
    <w:rsid w:val="00101E67"/>
    <w:rsid w:val="00101E6B"/>
    <w:rsid w:val="00101E83"/>
    <w:rsid w:val="00101FE1"/>
    <w:rsid w:val="00102BB9"/>
    <w:rsid w:val="0010321D"/>
    <w:rsid w:val="0010323D"/>
    <w:rsid w:val="001036A0"/>
    <w:rsid w:val="001039C5"/>
    <w:rsid w:val="00103F25"/>
    <w:rsid w:val="00104843"/>
    <w:rsid w:val="00104DBB"/>
    <w:rsid w:val="00104E38"/>
    <w:rsid w:val="001052FA"/>
    <w:rsid w:val="0010536B"/>
    <w:rsid w:val="00105647"/>
    <w:rsid w:val="00105E79"/>
    <w:rsid w:val="00105EA3"/>
    <w:rsid w:val="00106138"/>
    <w:rsid w:val="00106279"/>
    <w:rsid w:val="001063CD"/>
    <w:rsid w:val="001067DB"/>
    <w:rsid w:val="0010695C"/>
    <w:rsid w:val="00106ADD"/>
    <w:rsid w:val="00107133"/>
    <w:rsid w:val="00107A8E"/>
    <w:rsid w:val="00110A58"/>
    <w:rsid w:val="00111708"/>
    <w:rsid w:val="0011178E"/>
    <w:rsid w:val="001119EB"/>
    <w:rsid w:val="00112114"/>
    <w:rsid w:val="001124D5"/>
    <w:rsid w:val="00112717"/>
    <w:rsid w:val="001127F5"/>
    <w:rsid w:val="00112C31"/>
    <w:rsid w:val="00112E4B"/>
    <w:rsid w:val="00112FF2"/>
    <w:rsid w:val="0011310C"/>
    <w:rsid w:val="00113811"/>
    <w:rsid w:val="00114180"/>
    <w:rsid w:val="00114915"/>
    <w:rsid w:val="0011501C"/>
    <w:rsid w:val="001158C2"/>
    <w:rsid w:val="0011591E"/>
    <w:rsid w:val="00115AB1"/>
    <w:rsid w:val="00115FC6"/>
    <w:rsid w:val="001165A5"/>
    <w:rsid w:val="00116717"/>
    <w:rsid w:val="00117092"/>
    <w:rsid w:val="00117142"/>
    <w:rsid w:val="00117943"/>
    <w:rsid w:val="00117AF8"/>
    <w:rsid w:val="00120237"/>
    <w:rsid w:val="001202EA"/>
    <w:rsid w:val="001205FB"/>
    <w:rsid w:val="00120798"/>
    <w:rsid w:val="00120934"/>
    <w:rsid w:val="00120B88"/>
    <w:rsid w:val="00121102"/>
    <w:rsid w:val="001215FE"/>
    <w:rsid w:val="001217BE"/>
    <w:rsid w:val="00121DBA"/>
    <w:rsid w:val="00121F87"/>
    <w:rsid w:val="00122B31"/>
    <w:rsid w:val="00122D27"/>
    <w:rsid w:val="0012327A"/>
    <w:rsid w:val="001232A6"/>
    <w:rsid w:val="00123536"/>
    <w:rsid w:val="00123537"/>
    <w:rsid w:val="0012367B"/>
    <w:rsid w:val="00123B1B"/>
    <w:rsid w:val="00123F03"/>
    <w:rsid w:val="0012425F"/>
    <w:rsid w:val="001253B6"/>
    <w:rsid w:val="00125498"/>
    <w:rsid w:val="001257F4"/>
    <w:rsid w:val="00125B45"/>
    <w:rsid w:val="00125BC2"/>
    <w:rsid w:val="00125EBE"/>
    <w:rsid w:val="001265B9"/>
    <w:rsid w:val="00126719"/>
    <w:rsid w:val="00126CD8"/>
    <w:rsid w:val="00126EA6"/>
    <w:rsid w:val="001270E8"/>
    <w:rsid w:val="001273EF"/>
    <w:rsid w:val="0012795F"/>
    <w:rsid w:val="00127C35"/>
    <w:rsid w:val="00127F99"/>
    <w:rsid w:val="0013000E"/>
    <w:rsid w:val="0013000F"/>
    <w:rsid w:val="001309DB"/>
    <w:rsid w:val="00130C4C"/>
    <w:rsid w:val="001310D7"/>
    <w:rsid w:val="001315DD"/>
    <w:rsid w:val="001316D3"/>
    <w:rsid w:val="0013196B"/>
    <w:rsid w:val="00131B60"/>
    <w:rsid w:val="00131CB8"/>
    <w:rsid w:val="00131E91"/>
    <w:rsid w:val="00132621"/>
    <w:rsid w:val="001328CC"/>
    <w:rsid w:val="00132A32"/>
    <w:rsid w:val="00132C63"/>
    <w:rsid w:val="00132D87"/>
    <w:rsid w:val="00132EC9"/>
    <w:rsid w:val="00133147"/>
    <w:rsid w:val="00133250"/>
    <w:rsid w:val="00133BC4"/>
    <w:rsid w:val="00133F75"/>
    <w:rsid w:val="0013404B"/>
    <w:rsid w:val="00134339"/>
    <w:rsid w:val="001343B6"/>
    <w:rsid w:val="0013452E"/>
    <w:rsid w:val="00134B3C"/>
    <w:rsid w:val="00134F5D"/>
    <w:rsid w:val="001352EB"/>
    <w:rsid w:val="0013555D"/>
    <w:rsid w:val="0013588A"/>
    <w:rsid w:val="00135DC1"/>
    <w:rsid w:val="0013615B"/>
    <w:rsid w:val="00136871"/>
    <w:rsid w:val="00136AC1"/>
    <w:rsid w:val="00136C0A"/>
    <w:rsid w:val="00136EA9"/>
    <w:rsid w:val="00140650"/>
    <w:rsid w:val="001409D5"/>
    <w:rsid w:val="00140E9B"/>
    <w:rsid w:val="0014363D"/>
    <w:rsid w:val="00143A75"/>
    <w:rsid w:val="00143E6A"/>
    <w:rsid w:val="0014421F"/>
    <w:rsid w:val="001455A7"/>
    <w:rsid w:val="00145652"/>
    <w:rsid w:val="001459D7"/>
    <w:rsid w:val="001469B8"/>
    <w:rsid w:val="00146ABA"/>
    <w:rsid w:val="00146D8A"/>
    <w:rsid w:val="00146E6E"/>
    <w:rsid w:val="00147119"/>
    <w:rsid w:val="00147572"/>
    <w:rsid w:val="00147909"/>
    <w:rsid w:val="00147D40"/>
    <w:rsid w:val="00147E6A"/>
    <w:rsid w:val="00147FC6"/>
    <w:rsid w:val="00147FDD"/>
    <w:rsid w:val="001504B4"/>
    <w:rsid w:val="0015075C"/>
    <w:rsid w:val="00150FB0"/>
    <w:rsid w:val="00151089"/>
    <w:rsid w:val="00151210"/>
    <w:rsid w:val="001512B9"/>
    <w:rsid w:val="001515DD"/>
    <w:rsid w:val="00151B14"/>
    <w:rsid w:val="00152460"/>
    <w:rsid w:val="00152DE4"/>
    <w:rsid w:val="00152F33"/>
    <w:rsid w:val="00153163"/>
    <w:rsid w:val="00153415"/>
    <w:rsid w:val="0015372C"/>
    <w:rsid w:val="00153D54"/>
    <w:rsid w:val="00154C61"/>
    <w:rsid w:val="0015543E"/>
    <w:rsid w:val="0015568E"/>
    <w:rsid w:val="00155988"/>
    <w:rsid w:val="00155A8C"/>
    <w:rsid w:val="00155B80"/>
    <w:rsid w:val="00155CC4"/>
    <w:rsid w:val="00155DF9"/>
    <w:rsid w:val="0015696D"/>
    <w:rsid w:val="00156DCE"/>
    <w:rsid w:val="00156EB8"/>
    <w:rsid w:val="0015714A"/>
    <w:rsid w:val="001579C4"/>
    <w:rsid w:val="00157F6C"/>
    <w:rsid w:val="00160A42"/>
    <w:rsid w:val="00161023"/>
    <w:rsid w:val="00161B86"/>
    <w:rsid w:val="00161DCB"/>
    <w:rsid w:val="0016254B"/>
    <w:rsid w:val="0016266E"/>
    <w:rsid w:val="001629D8"/>
    <w:rsid w:val="00162A2E"/>
    <w:rsid w:val="001630AD"/>
    <w:rsid w:val="0016362F"/>
    <w:rsid w:val="00163774"/>
    <w:rsid w:val="00163D11"/>
    <w:rsid w:val="00164020"/>
    <w:rsid w:val="001640E6"/>
    <w:rsid w:val="00164361"/>
    <w:rsid w:val="001647E1"/>
    <w:rsid w:val="00164B4E"/>
    <w:rsid w:val="00164B77"/>
    <w:rsid w:val="00164BD3"/>
    <w:rsid w:val="00164DCF"/>
    <w:rsid w:val="001653A7"/>
    <w:rsid w:val="00165AE3"/>
    <w:rsid w:val="00165D9F"/>
    <w:rsid w:val="0016663F"/>
    <w:rsid w:val="00166667"/>
    <w:rsid w:val="001666E1"/>
    <w:rsid w:val="001669AC"/>
    <w:rsid w:val="00166AD4"/>
    <w:rsid w:val="00167989"/>
    <w:rsid w:val="0016799F"/>
    <w:rsid w:val="00167A32"/>
    <w:rsid w:val="00167D7D"/>
    <w:rsid w:val="0017040A"/>
    <w:rsid w:val="00170943"/>
    <w:rsid w:val="00171239"/>
    <w:rsid w:val="00171EA9"/>
    <w:rsid w:val="0017227E"/>
    <w:rsid w:val="00172712"/>
    <w:rsid w:val="001727B9"/>
    <w:rsid w:val="00172D13"/>
    <w:rsid w:val="0017358A"/>
    <w:rsid w:val="001735ED"/>
    <w:rsid w:val="00173C8E"/>
    <w:rsid w:val="00173CD4"/>
    <w:rsid w:val="001744DE"/>
    <w:rsid w:val="001748CE"/>
    <w:rsid w:val="00174B67"/>
    <w:rsid w:val="0017517B"/>
    <w:rsid w:val="00175467"/>
    <w:rsid w:val="001755E9"/>
    <w:rsid w:val="0017583B"/>
    <w:rsid w:val="00175CAB"/>
    <w:rsid w:val="00175D60"/>
    <w:rsid w:val="00175E0D"/>
    <w:rsid w:val="001760CD"/>
    <w:rsid w:val="001761FB"/>
    <w:rsid w:val="00176550"/>
    <w:rsid w:val="001765A9"/>
    <w:rsid w:val="001767F4"/>
    <w:rsid w:val="001768F1"/>
    <w:rsid w:val="00176AB1"/>
    <w:rsid w:val="00176B05"/>
    <w:rsid w:val="00176B37"/>
    <w:rsid w:val="00176E59"/>
    <w:rsid w:val="001777B1"/>
    <w:rsid w:val="00177D8A"/>
    <w:rsid w:val="00177DB0"/>
    <w:rsid w:val="00177E89"/>
    <w:rsid w:val="0018063B"/>
    <w:rsid w:val="0018064F"/>
    <w:rsid w:val="00180675"/>
    <w:rsid w:val="00180FD2"/>
    <w:rsid w:val="001815D8"/>
    <w:rsid w:val="00181726"/>
    <w:rsid w:val="00181D32"/>
    <w:rsid w:val="001826C5"/>
    <w:rsid w:val="001829B9"/>
    <w:rsid w:val="0018329B"/>
    <w:rsid w:val="00183356"/>
    <w:rsid w:val="00183359"/>
    <w:rsid w:val="00183803"/>
    <w:rsid w:val="0018385B"/>
    <w:rsid w:val="001847D1"/>
    <w:rsid w:val="001847FF"/>
    <w:rsid w:val="00184E43"/>
    <w:rsid w:val="00184F71"/>
    <w:rsid w:val="00185253"/>
    <w:rsid w:val="001853CC"/>
    <w:rsid w:val="00185817"/>
    <w:rsid w:val="001859B4"/>
    <w:rsid w:val="00185A05"/>
    <w:rsid w:val="00185C5D"/>
    <w:rsid w:val="00185C7F"/>
    <w:rsid w:val="00185E3F"/>
    <w:rsid w:val="00185F0C"/>
    <w:rsid w:val="001861DE"/>
    <w:rsid w:val="00186D7D"/>
    <w:rsid w:val="00186FB0"/>
    <w:rsid w:val="0018718B"/>
    <w:rsid w:val="001878E7"/>
    <w:rsid w:val="00190676"/>
    <w:rsid w:val="001909CC"/>
    <w:rsid w:val="00190B49"/>
    <w:rsid w:val="00191002"/>
    <w:rsid w:val="00191184"/>
    <w:rsid w:val="00191273"/>
    <w:rsid w:val="001916B4"/>
    <w:rsid w:val="00191B33"/>
    <w:rsid w:val="001920D9"/>
    <w:rsid w:val="00192196"/>
    <w:rsid w:val="0019290E"/>
    <w:rsid w:val="00192B64"/>
    <w:rsid w:val="0019328E"/>
    <w:rsid w:val="0019344C"/>
    <w:rsid w:val="001935D9"/>
    <w:rsid w:val="0019371C"/>
    <w:rsid w:val="00193775"/>
    <w:rsid w:val="001937D1"/>
    <w:rsid w:val="00193976"/>
    <w:rsid w:val="00193AA7"/>
    <w:rsid w:val="00193E99"/>
    <w:rsid w:val="00194912"/>
    <w:rsid w:val="00194B9F"/>
    <w:rsid w:val="00194BD3"/>
    <w:rsid w:val="0019503F"/>
    <w:rsid w:val="001951B2"/>
    <w:rsid w:val="0019531D"/>
    <w:rsid w:val="00195630"/>
    <w:rsid w:val="00195AB3"/>
    <w:rsid w:val="0019604C"/>
    <w:rsid w:val="001965E5"/>
    <w:rsid w:val="001969AF"/>
    <w:rsid w:val="00196B66"/>
    <w:rsid w:val="00196CB8"/>
    <w:rsid w:val="0019702E"/>
    <w:rsid w:val="001971D5"/>
    <w:rsid w:val="0019754C"/>
    <w:rsid w:val="00197CBB"/>
    <w:rsid w:val="00197CC9"/>
    <w:rsid w:val="00197FBE"/>
    <w:rsid w:val="001A00CC"/>
    <w:rsid w:val="001A0169"/>
    <w:rsid w:val="001A1510"/>
    <w:rsid w:val="001A209B"/>
    <w:rsid w:val="001A2316"/>
    <w:rsid w:val="001A2332"/>
    <w:rsid w:val="001A2394"/>
    <w:rsid w:val="001A2AF6"/>
    <w:rsid w:val="001A2CC7"/>
    <w:rsid w:val="001A302A"/>
    <w:rsid w:val="001A3098"/>
    <w:rsid w:val="001A35D1"/>
    <w:rsid w:val="001A3A1A"/>
    <w:rsid w:val="001A3A66"/>
    <w:rsid w:val="001A3D54"/>
    <w:rsid w:val="001A470E"/>
    <w:rsid w:val="001A480E"/>
    <w:rsid w:val="001A4ADA"/>
    <w:rsid w:val="001A4BFA"/>
    <w:rsid w:val="001A4CAB"/>
    <w:rsid w:val="001A5115"/>
    <w:rsid w:val="001A51F4"/>
    <w:rsid w:val="001A57DC"/>
    <w:rsid w:val="001A5A59"/>
    <w:rsid w:val="001A6089"/>
    <w:rsid w:val="001A6786"/>
    <w:rsid w:val="001A6B29"/>
    <w:rsid w:val="001A6EF8"/>
    <w:rsid w:val="001A7964"/>
    <w:rsid w:val="001A7DE3"/>
    <w:rsid w:val="001B0172"/>
    <w:rsid w:val="001B02B1"/>
    <w:rsid w:val="001B031C"/>
    <w:rsid w:val="001B0995"/>
    <w:rsid w:val="001B0D66"/>
    <w:rsid w:val="001B0E2E"/>
    <w:rsid w:val="001B1280"/>
    <w:rsid w:val="001B151E"/>
    <w:rsid w:val="001B1890"/>
    <w:rsid w:val="001B1912"/>
    <w:rsid w:val="001B1EEE"/>
    <w:rsid w:val="001B2529"/>
    <w:rsid w:val="001B27C4"/>
    <w:rsid w:val="001B29A5"/>
    <w:rsid w:val="001B2F3E"/>
    <w:rsid w:val="001B2F72"/>
    <w:rsid w:val="001B37F7"/>
    <w:rsid w:val="001B3BB4"/>
    <w:rsid w:val="001B4908"/>
    <w:rsid w:val="001B4D6D"/>
    <w:rsid w:val="001B5070"/>
    <w:rsid w:val="001B51A0"/>
    <w:rsid w:val="001B5777"/>
    <w:rsid w:val="001B5A7E"/>
    <w:rsid w:val="001B5C6B"/>
    <w:rsid w:val="001B5C71"/>
    <w:rsid w:val="001B5D78"/>
    <w:rsid w:val="001B69C4"/>
    <w:rsid w:val="001B6C4C"/>
    <w:rsid w:val="001B7104"/>
    <w:rsid w:val="001B71B5"/>
    <w:rsid w:val="001B7428"/>
    <w:rsid w:val="001B7961"/>
    <w:rsid w:val="001B7C8B"/>
    <w:rsid w:val="001C0904"/>
    <w:rsid w:val="001C0D0D"/>
    <w:rsid w:val="001C0D92"/>
    <w:rsid w:val="001C0DED"/>
    <w:rsid w:val="001C0E93"/>
    <w:rsid w:val="001C0F01"/>
    <w:rsid w:val="001C1A3D"/>
    <w:rsid w:val="001C1FC1"/>
    <w:rsid w:val="001C21AF"/>
    <w:rsid w:val="001C2453"/>
    <w:rsid w:val="001C2737"/>
    <w:rsid w:val="001C44E8"/>
    <w:rsid w:val="001C44FC"/>
    <w:rsid w:val="001C5CD5"/>
    <w:rsid w:val="001C609D"/>
    <w:rsid w:val="001C6539"/>
    <w:rsid w:val="001C658E"/>
    <w:rsid w:val="001C66B1"/>
    <w:rsid w:val="001C68C1"/>
    <w:rsid w:val="001C6957"/>
    <w:rsid w:val="001C6982"/>
    <w:rsid w:val="001C6A1F"/>
    <w:rsid w:val="001C6CD0"/>
    <w:rsid w:val="001C705A"/>
    <w:rsid w:val="001C73DB"/>
    <w:rsid w:val="001C761B"/>
    <w:rsid w:val="001C7A41"/>
    <w:rsid w:val="001C7B98"/>
    <w:rsid w:val="001C7E33"/>
    <w:rsid w:val="001D013C"/>
    <w:rsid w:val="001D014A"/>
    <w:rsid w:val="001D0303"/>
    <w:rsid w:val="001D05BD"/>
    <w:rsid w:val="001D0AE9"/>
    <w:rsid w:val="001D113B"/>
    <w:rsid w:val="001D19BF"/>
    <w:rsid w:val="001D1FE7"/>
    <w:rsid w:val="001D2034"/>
    <w:rsid w:val="001D20A2"/>
    <w:rsid w:val="001D21D9"/>
    <w:rsid w:val="001D273B"/>
    <w:rsid w:val="001D32A2"/>
    <w:rsid w:val="001D36B9"/>
    <w:rsid w:val="001D38E4"/>
    <w:rsid w:val="001D396D"/>
    <w:rsid w:val="001D3C3B"/>
    <w:rsid w:val="001D3C9C"/>
    <w:rsid w:val="001D3FCB"/>
    <w:rsid w:val="001D473C"/>
    <w:rsid w:val="001D47E3"/>
    <w:rsid w:val="001D4CB2"/>
    <w:rsid w:val="001D57C1"/>
    <w:rsid w:val="001D623A"/>
    <w:rsid w:val="001D657D"/>
    <w:rsid w:val="001D6871"/>
    <w:rsid w:val="001D6DE9"/>
    <w:rsid w:val="001D6E56"/>
    <w:rsid w:val="001D733C"/>
    <w:rsid w:val="001D76BA"/>
    <w:rsid w:val="001D76C3"/>
    <w:rsid w:val="001D775D"/>
    <w:rsid w:val="001D7820"/>
    <w:rsid w:val="001D7C1A"/>
    <w:rsid w:val="001E0056"/>
    <w:rsid w:val="001E0A9F"/>
    <w:rsid w:val="001E12BE"/>
    <w:rsid w:val="001E1341"/>
    <w:rsid w:val="001E15BB"/>
    <w:rsid w:val="001E1816"/>
    <w:rsid w:val="001E186F"/>
    <w:rsid w:val="001E1C73"/>
    <w:rsid w:val="001E1CB7"/>
    <w:rsid w:val="001E1E89"/>
    <w:rsid w:val="001E1EB3"/>
    <w:rsid w:val="001E1F53"/>
    <w:rsid w:val="001E260A"/>
    <w:rsid w:val="001E2CAA"/>
    <w:rsid w:val="001E2E64"/>
    <w:rsid w:val="001E307F"/>
    <w:rsid w:val="001E3186"/>
    <w:rsid w:val="001E3501"/>
    <w:rsid w:val="001E37DB"/>
    <w:rsid w:val="001E40D5"/>
    <w:rsid w:val="001E4ED8"/>
    <w:rsid w:val="001E51B4"/>
    <w:rsid w:val="001E59CD"/>
    <w:rsid w:val="001E62F3"/>
    <w:rsid w:val="001E6801"/>
    <w:rsid w:val="001E6C84"/>
    <w:rsid w:val="001E6D0E"/>
    <w:rsid w:val="001E777F"/>
    <w:rsid w:val="001E779C"/>
    <w:rsid w:val="001E7B54"/>
    <w:rsid w:val="001E7E91"/>
    <w:rsid w:val="001E7FBB"/>
    <w:rsid w:val="001F008B"/>
    <w:rsid w:val="001F1491"/>
    <w:rsid w:val="001F199E"/>
    <w:rsid w:val="001F25A2"/>
    <w:rsid w:val="001F29A6"/>
    <w:rsid w:val="001F2C20"/>
    <w:rsid w:val="001F2DB3"/>
    <w:rsid w:val="001F3864"/>
    <w:rsid w:val="001F3AE3"/>
    <w:rsid w:val="001F3E9F"/>
    <w:rsid w:val="001F3FD6"/>
    <w:rsid w:val="001F467B"/>
    <w:rsid w:val="001F4840"/>
    <w:rsid w:val="001F5126"/>
    <w:rsid w:val="001F542E"/>
    <w:rsid w:val="001F55AA"/>
    <w:rsid w:val="001F5767"/>
    <w:rsid w:val="001F5C34"/>
    <w:rsid w:val="001F5D2A"/>
    <w:rsid w:val="001F603E"/>
    <w:rsid w:val="001F6064"/>
    <w:rsid w:val="001F6343"/>
    <w:rsid w:val="001F6456"/>
    <w:rsid w:val="001F6762"/>
    <w:rsid w:val="001F67F7"/>
    <w:rsid w:val="001F729A"/>
    <w:rsid w:val="001F7843"/>
    <w:rsid w:val="001F7A7C"/>
    <w:rsid w:val="001F7CB9"/>
    <w:rsid w:val="001F7D2B"/>
    <w:rsid w:val="0020004E"/>
    <w:rsid w:val="00200A41"/>
    <w:rsid w:val="00200B96"/>
    <w:rsid w:val="00200D2B"/>
    <w:rsid w:val="00200F14"/>
    <w:rsid w:val="00200F58"/>
    <w:rsid w:val="00201148"/>
    <w:rsid w:val="002014D8"/>
    <w:rsid w:val="0020167D"/>
    <w:rsid w:val="002018E5"/>
    <w:rsid w:val="002022AF"/>
    <w:rsid w:val="002026BC"/>
    <w:rsid w:val="0020358F"/>
    <w:rsid w:val="00203E16"/>
    <w:rsid w:val="00204139"/>
    <w:rsid w:val="0020431A"/>
    <w:rsid w:val="00204380"/>
    <w:rsid w:val="002048BD"/>
    <w:rsid w:val="00204B58"/>
    <w:rsid w:val="00204C5C"/>
    <w:rsid w:val="0020503E"/>
    <w:rsid w:val="00205428"/>
    <w:rsid w:val="00205B7B"/>
    <w:rsid w:val="00205F81"/>
    <w:rsid w:val="00206466"/>
    <w:rsid w:val="00206813"/>
    <w:rsid w:val="00206BC1"/>
    <w:rsid w:val="0020750E"/>
    <w:rsid w:val="0021087F"/>
    <w:rsid w:val="00210BA6"/>
    <w:rsid w:val="00210CAF"/>
    <w:rsid w:val="00211370"/>
    <w:rsid w:val="00211CF3"/>
    <w:rsid w:val="002120FB"/>
    <w:rsid w:val="00212A44"/>
    <w:rsid w:val="00213485"/>
    <w:rsid w:val="00213950"/>
    <w:rsid w:val="00213A45"/>
    <w:rsid w:val="00213A55"/>
    <w:rsid w:val="00213B6A"/>
    <w:rsid w:val="002141A1"/>
    <w:rsid w:val="00214898"/>
    <w:rsid w:val="00214A6F"/>
    <w:rsid w:val="00214C20"/>
    <w:rsid w:val="00214D5F"/>
    <w:rsid w:val="00214ED1"/>
    <w:rsid w:val="002150D9"/>
    <w:rsid w:val="0021535F"/>
    <w:rsid w:val="0021547F"/>
    <w:rsid w:val="0021587B"/>
    <w:rsid w:val="00215D57"/>
    <w:rsid w:val="00215F80"/>
    <w:rsid w:val="00216376"/>
    <w:rsid w:val="00216427"/>
    <w:rsid w:val="0021679F"/>
    <w:rsid w:val="00216BEA"/>
    <w:rsid w:val="00216C91"/>
    <w:rsid w:val="00216CEC"/>
    <w:rsid w:val="00216D5F"/>
    <w:rsid w:val="0021729E"/>
    <w:rsid w:val="00217A8B"/>
    <w:rsid w:val="00220484"/>
    <w:rsid w:val="00220547"/>
    <w:rsid w:val="00220835"/>
    <w:rsid w:val="002208DC"/>
    <w:rsid w:val="00220AD9"/>
    <w:rsid w:val="00221523"/>
    <w:rsid w:val="002215B1"/>
    <w:rsid w:val="0022296A"/>
    <w:rsid w:val="00222CEE"/>
    <w:rsid w:val="00223001"/>
    <w:rsid w:val="002232E9"/>
    <w:rsid w:val="0022342D"/>
    <w:rsid w:val="0022354B"/>
    <w:rsid w:val="0022364F"/>
    <w:rsid w:val="00223C63"/>
    <w:rsid w:val="00223E5F"/>
    <w:rsid w:val="00223E7C"/>
    <w:rsid w:val="002249E3"/>
    <w:rsid w:val="00224EE9"/>
    <w:rsid w:val="002250BD"/>
    <w:rsid w:val="00225292"/>
    <w:rsid w:val="002259E3"/>
    <w:rsid w:val="00225BD5"/>
    <w:rsid w:val="00226301"/>
    <w:rsid w:val="00226F37"/>
    <w:rsid w:val="00226F85"/>
    <w:rsid w:val="00227148"/>
    <w:rsid w:val="002272CD"/>
    <w:rsid w:val="0022778A"/>
    <w:rsid w:val="00227A18"/>
    <w:rsid w:val="00230332"/>
    <w:rsid w:val="00231C42"/>
    <w:rsid w:val="00231D6F"/>
    <w:rsid w:val="00231D9F"/>
    <w:rsid w:val="0023241E"/>
    <w:rsid w:val="0023263F"/>
    <w:rsid w:val="00232A6B"/>
    <w:rsid w:val="00232B1F"/>
    <w:rsid w:val="00232E47"/>
    <w:rsid w:val="002330DB"/>
    <w:rsid w:val="002331FD"/>
    <w:rsid w:val="00233FB2"/>
    <w:rsid w:val="002340E6"/>
    <w:rsid w:val="002342FB"/>
    <w:rsid w:val="002343F7"/>
    <w:rsid w:val="002349E4"/>
    <w:rsid w:val="00234C27"/>
    <w:rsid w:val="00235156"/>
    <w:rsid w:val="00235233"/>
    <w:rsid w:val="00235688"/>
    <w:rsid w:val="00235C22"/>
    <w:rsid w:val="00235D88"/>
    <w:rsid w:val="00235F77"/>
    <w:rsid w:val="00236540"/>
    <w:rsid w:val="002365CE"/>
    <w:rsid w:val="00237007"/>
    <w:rsid w:val="002376EB"/>
    <w:rsid w:val="00237D6E"/>
    <w:rsid w:val="00237FE2"/>
    <w:rsid w:val="002406C6"/>
    <w:rsid w:val="002407AD"/>
    <w:rsid w:val="00240A0F"/>
    <w:rsid w:val="00240D6F"/>
    <w:rsid w:val="00240E4B"/>
    <w:rsid w:val="00241128"/>
    <w:rsid w:val="00241354"/>
    <w:rsid w:val="00241696"/>
    <w:rsid w:val="002419A2"/>
    <w:rsid w:val="00241C29"/>
    <w:rsid w:val="00242044"/>
    <w:rsid w:val="0024217D"/>
    <w:rsid w:val="00242275"/>
    <w:rsid w:val="002423C8"/>
    <w:rsid w:val="00242527"/>
    <w:rsid w:val="0024256B"/>
    <w:rsid w:val="00242915"/>
    <w:rsid w:val="002431B4"/>
    <w:rsid w:val="00243252"/>
    <w:rsid w:val="00243501"/>
    <w:rsid w:val="0024372F"/>
    <w:rsid w:val="002439ED"/>
    <w:rsid w:val="00243C1C"/>
    <w:rsid w:val="00243F5F"/>
    <w:rsid w:val="00243F92"/>
    <w:rsid w:val="002440B1"/>
    <w:rsid w:val="00244578"/>
    <w:rsid w:val="00244722"/>
    <w:rsid w:val="00244875"/>
    <w:rsid w:val="002449D3"/>
    <w:rsid w:val="00245E86"/>
    <w:rsid w:val="002464C8"/>
    <w:rsid w:val="00246B4D"/>
    <w:rsid w:val="002476B3"/>
    <w:rsid w:val="002477CD"/>
    <w:rsid w:val="00250222"/>
    <w:rsid w:val="00250957"/>
    <w:rsid w:val="00250D31"/>
    <w:rsid w:val="00250F1C"/>
    <w:rsid w:val="00251122"/>
    <w:rsid w:val="002517CD"/>
    <w:rsid w:val="00251E38"/>
    <w:rsid w:val="00251F30"/>
    <w:rsid w:val="0025228D"/>
    <w:rsid w:val="00252566"/>
    <w:rsid w:val="002526C0"/>
    <w:rsid w:val="002529A1"/>
    <w:rsid w:val="00252A3A"/>
    <w:rsid w:val="00252C10"/>
    <w:rsid w:val="00252E75"/>
    <w:rsid w:val="00253066"/>
    <w:rsid w:val="00253226"/>
    <w:rsid w:val="002535CA"/>
    <w:rsid w:val="0025362D"/>
    <w:rsid w:val="00253812"/>
    <w:rsid w:val="00253A6D"/>
    <w:rsid w:val="00254455"/>
    <w:rsid w:val="002546CD"/>
    <w:rsid w:val="00254916"/>
    <w:rsid w:val="002555B0"/>
    <w:rsid w:val="0025574E"/>
    <w:rsid w:val="00255DD8"/>
    <w:rsid w:val="00255E8F"/>
    <w:rsid w:val="00256003"/>
    <w:rsid w:val="00256059"/>
    <w:rsid w:val="002561BE"/>
    <w:rsid w:val="0025629D"/>
    <w:rsid w:val="00256516"/>
    <w:rsid w:val="00256855"/>
    <w:rsid w:val="00256C44"/>
    <w:rsid w:val="00257299"/>
    <w:rsid w:val="0025771B"/>
    <w:rsid w:val="002602E3"/>
    <w:rsid w:val="002603D3"/>
    <w:rsid w:val="0026099E"/>
    <w:rsid w:val="00260CA0"/>
    <w:rsid w:val="00260DD7"/>
    <w:rsid w:val="00260EEB"/>
    <w:rsid w:val="00261A82"/>
    <w:rsid w:val="00261F28"/>
    <w:rsid w:val="00262D8B"/>
    <w:rsid w:val="00263440"/>
    <w:rsid w:val="00263685"/>
    <w:rsid w:val="0026383E"/>
    <w:rsid w:val="00263958"/>
    <w:rsid w:val="00263C9B"/>
    <w:rsid w:val="00263DF4"/>
    <w:rsid w:val="00264275"/>
    <w:rsid w:val="00264556"/>
    <w:rsid w:val="0026463C"/>
    <w:rsid w:val="002647FC"/>
    <w:rsid w:val="00264814"/>
    <w:rsid w:val="00264926"/>
    <w:rsid w:val="00265E01"/>
    <w:rsid w:val="00266314"/>
    <w:rsid w:val="002667FA"/>
    <w:rsid w:val="00266DF4"/>
    <w:rsid w:val="00267D62"/>
    <w:rsid w:val="002706F1"/>
    <w:rsid w:val="002708D7"/>
    <w:rsid w:val="00270A57"/>
    <w:rsid w:val="0027126D"/>
    <w:rsid w:val="00271DBC"/>
    <w:rsid w:val="002720B2"/>
    <w:rsid w:val="002720D0"/>
    <w:rsid w:val="002720E3"/>
    <w:rsid w:val="00272B9D"/>
    <w:rsid w:val="00272BDE"/>
    <w:rsid w:val="00273985"/>
    <w:rsid w:val="0027398A"/>
    <w:rsid w:val="00273B78"/>
    <w:rsid w:val="00273CF0"/>
    <w:rsid w:val="002745C2"/>
    <w:rsid w:val="002748F9"/>
    <w:rsid w:val="002749C0"/>
    <w:rsid w:val="00274AA1"/>
    <w:rsid w:val="00274C7B"/>
    <w:rsid w:val="002750F3"/>
    <w:rsid w:val="002752D1"/>
    <w:rsid w:val="00275535"/>
    <w:rsid w:val="0027567D"/>
    <w:rsid w:val="00275922"/>
    <w:rsid w:val="00275D8F"/>
    <w:rsid w:val="0027671F"/>
    <w:rsid w:val="0027698B"/>
    <w:rsid w:val="00277027"/>
    <w:rsid w:val="002773F0"/>
    <w:rsid w:val="00277E45"/>
    <w:rsid w:val="00280DAF"/>
    <w:rsid w:val="00280EFA"/>
    <w:rsid w:val="00280FFA"/>
    <w:rsid w:val="0028112D"/>
    <w:rsid w:val="002811C2"/>
    <w:rsid w:val="00281262"/>
    <w:rsid w:val="002812BF"/>
    <w:rsid w:val="00281877"/>
    <w:rsid w:val="002819F1"/>
    <w:rsid w:val="00281A52"/>
    <w:rsid w:val="00281DA4"/>
    <w:rsid w:val="00281F7F"/>
    <w:rsid w:val="0028216D"/>
    <w:rsid w:val="002821F3"/>
    <w:rsid w:val="00282C92"/>
    <w:rsid w:val="002833B8"/>
    <w:rsid w:val="002839AC"/>
    <w:rsid w:val="002845DB"/>
    <w:rsid w:val="00284DA5"/>
    <w:rsid w:val="0028524B"/>
    <w:rsid w:val="002857AB"/>
    <w:rsid w:val="00285D2C"/>
    <w:rsid w:val="00286242"/>
    <w:rsid w:val="002862C7"/>
    <w:rsid w:val="0028696F"/>
    <w:rsid w:val="00286F32"/>
    <w:rsid w:val="0028716B"/>
    <w:rsid w:val="002872ED"/>
    <w:rsid w:val="00287C55"/>
    <w:rsid w:val="0029071D"/>
    <w:rsid w:val="002907DE"/>
    <w:rsid w:val="00290B15"/>
    <w:rsid w:val="00290C7D"/>
    <w:rsid w:val="00290EE3"/>
    <w:rsid w:val="00292038"/>
    <w:rsid w:val="00292B27"/>
    <w:rsid w:val="00292D25"/>
    <w:rsid w:val="00293E81"/>
    <w:rsid w:val="00295404"/>
    <w:rsid w:val="00295553"/>
    <w:rsid w:val="002957AE"/>
    <w:rsid w:val="00295B7A"/>
    <w:rsid w:val="00296676"/>
    <w:rsid w:val="00296B81"/>
    <w:rsid w:val="00296BB1"/>
    <w:rsid w:val="00296CB4"/>
    <w:rsid w:val="00296D10"/>
    <w:rsid w:val="0029782A"/>
    <w:rsid w:val="002A0C8F"/>
    <w:rsid w:val="002A12FF"/>
    <w:rsid w:val="002A1347"/>
    <w:rsid w:val="002A1423"/>
    <w:rsid w:val="002A1BF0"/>
    <w:rsid w:val="002A2181"/>
    <w:rsid w:val="002A234F"/>
    <w:rsid w:val="002A2430"/>
    <w:rsid w:val="002A2477"/>
    <w:rsid w:val="002A29DF"/>
    <w:rsid w:val="002A2DD5"/>
    <w:rsid w:val="002A30DF"/>
    <w:rsid w:val="002A3434"/>
    <w:rsid w:val="002A3C3B"/>
    <w:rsid w:val="002A45FC"/>
    <w:rsid w:val="002A4899"/>
    <w:rsid w:val="002A4925"/>
    <w:rsid w:val="002A4C48"/>
    <w:rsid w:val="002A5507"/>
    <w:rsid w:val="002A58EE"/>
    <w:rsid w:val="002A5930"/>
    <w:rsid w:val="002A59A7"/>
    <w:rsid w:val="002A5BC8"/>
    <w:rsid w:val="002A6771"/>
    <w:rsid w:val="002A6C22"/>
    <w:rsid w:val="002A6E06"/>
    <w:rsid w:val="002A7210"/>
    <w:rsid w:val="002A736B"/>
    <w:rsid w:val="002A757B"/>
    <w:rsid w:val="002A7B67"/>
    <w:rsid w:val="002B025E"/>
    <w:rsid w:val="002B083A"/>
    <w:rsid w:val="002B0979"/>
    <w:rsid w:val="002B0F5E"/>
    <w:rsid w:val="002B120A"/>
    <w:rsid w:val="002B1687"/>
    <w:rsid w:val="002B353D"/>
    <w:rsid w:val="002B360E"/>
    <w:rsid w:val="002B36CB"/>
    <w:rsid w:val="002B36E0"/>
    <w:rsid w:val="002B40E6"/>
    <w:rsid w:val="002B4851"/>
    <w:rsid w:val="002B48AC"/>
    <w:rsid w:val="002B4CE3"/>
    <w:rsid w:val="002B527D"/>
    <w:rsid w:val="002B568E"/>
    <w:rsid w:val="002B58A2"/>
    <w:rsid w:val="002B5A51"/>
    <w:rsid w:val="002B6A82"/>
    <w:rsid w:val="002B6BB2"/>
    <w:rsid w:val="002B73E6"/>
    <w:rsid w:val="002B7B5B"/>
    <w:rsid w:val="002B7E7B"/>
    <w:rsid w:val="002B7F0F"/>
    <w:rsid w:val="002C05C9"/>
    <w:rsid w:val="002C0765"/>
    <w:rsid w:val="002C0929"/>
    <w:rsid w:val="002C09AB"/>
    <w:rsid w:val="002C0A8A"/>
    <w:rsid w:val="002C0E59"/>
    <w:rsid w:val="002C0FF3"/>
    <w:rsid w:val="002C11F1"/>
    <w:rsid w:val="002C171A"/>
    <w:rsid w:val="002C17EE"/>
    <w:rsid w:val="002C1918"/>
    <w:rsid w:val="002C196B"/>
    <w:rsid w:val="002C1C89"/>
    <w:rsid w:val="002C1E3B"/>
    <w:rsid w:val="002C1F51"/>
    <w:rsid w:val="002C2507"/>
    <w:rsid w:val="002C265E"/>
    <w:rsid w:val="002C2927"/>
    <w:rsid w:val="002C3638"/>
    <w:rsid w:val="002C3A75"/>
    <w:rsid w:val="002C3B5C"/>
    <w:rsid w:val="002C45A0"/>
    <w:rsid w:val="002C4816"/>
    <w:rsid w:val="002C4850"/>
    <w:rsid w:val="002C4C1F"/>
    <w:rsid w:val="002C5024"/>
    <w:rsid w:val="002C5128"/>
    <w:rsid w:val="002C520D"/>
    <w:rsid w:val="002C530E"/>
    <w:rsid w:val="002C5932"/>
    <w:rsid w:val="002C5CFB"/>
    <w:rsid w:val="002C658D"/>
    <w:rsid w:val="002C666C"/>
    <w:rsid w:val="002C6925"/>
    <w:rsid w:val="002C6A93"/>
    <w:rsid w:val="002C732E"/>
    <w:rsid w:val="002C74D3"/>
    <w:rsid w:val="002C76D5"/>
    <w:rsid w:val="002C78F1"/>
    <w:rsid w:val="002C7E60"/>
    <w:rsid w:val="002C7FE5"/>
    <w:rsid w:val="002D02C4"/>
    <w:rsid w:val="002D02F9"/>
    <w:rsid w:val="002D09AD"/>
    <w:rsid w:val="002D0F44"/>
    <w:rsid w:val="002D10BA"/>
    <w:rsid w:val="002D1417"/>
    <w:rsid w:val="002D1A98"/>
    <w:rsid w:val="002D1F0E"/>
    <w:rsid w:val="002D2448"/>
    <w:rsid w:val="002D29EB"/>
    <w:rsid w:val="002D2EC5"/>
    <w:rsid w:val="002D2F24"/>
    <w:rsid w:val="002D382D"/>
    <w:rsid w:val="002D3EBB"/>
    <w:rsid w:val="002D3FD4"/>
    <w:rsid w:val="002D4558"/>
    <w:rsid w:val="002D4782"/>
    <w:rsid w:val="002D51D1"/>
    <w:rsid w:val="002D594A"/>
    <w:rsid w:val="002D5D87"/>
    <w:rsid w:val="002D5F32"/>
    <w:rsid w:val="002D6360"/>
    <w:rsid w:val="002D63E9"/>
    <w:rsid w:val="002D67CB"/>
    <w:rsid w:val="002D6BB0"/>
    <w:rsid w:val="002D6BF6"/>
    <w:rsid w:val="002D6CB6"/>
    <w:rsid w:val="002D7074"/>
    <w:rsid w:val="002D7B0F"/>
    <w:rsid w:val="002E10BA"/>
    <w:rsid w:val="002E1293"/>
    <w:rsid w:val="002E154A"/>
    <w:rsid w:val="002E17D8"/>
    <w:rsid w:val="002E1BC7"/>
    <w:rsid w:val="002E264E"/>
    <w:rsid w:val="002E273F"/>
    <w:rsid w:val="002E2931"/>
    <w:rsid w:val="002E309C"/>
    <w:rsid w:val="002E3310"/>
    <w:rsid w:val="002E36F3"/>
    <w:rsid w:val="002E37C8"/>
    <w:rsid w:val="002E3A47"/>
    <w:rsid w:val="002E3EAA"/>
    <w:rsid w:val="002E3F39"/>
    <w:rsid w:val="002E41F3"/>
    <w:rsid w:val="002E522E"/>
    <w:rsid w:val="002E5C0A"/>
    <w:rsid w:val="002E611F"/>
    <w:rsid w:val="002E6CC6"/>
    <w:rsid w:val="002E6FA3"/>
    <w:rsid w:val="002E71F5"/>
    <w:rsid w:val="002E7302"/>
    <w:rsid w:val="002E74A3"/>
    <w:rsid w:val="002E764A"/>
    <w:rsid w:val="002E7C01"/>
    <w:rsid w:val="002E7D8B"/>
    <w:rsid w:val="002E7F36"/>
    <w:rsid w:val="002F098C"/>
    <w:rsid w:val="002F0FBE"/>
    <w:rsid w:val="002F10A0"/>
    <w:rsid w:val="002F1653"/>
    <w:rsid w:val="002F1814"/>
    <w:rsid w:val="002F1C4A"/>
    <w:rsid w:val="002F1FCC"/>
    <w:rsid w:val="002F26F8"/>
    <w:rsid w:val="002F27AE"/>
    <w:rsid w:val="002F29CA"/>
    <w:rsid w:val="002F2CBB"/>
    <w:rsid w:val="002F2DC7"/>
    <w:rsid w:val="002F30FC"/>
    <w:rsid w:val="002F33D4"/>
    <w:rsid w:val="002F3510"/>
    <w:rsid w:val="002F366F"/>
    <w:rsid w:val="002F37DD"/>
    <w:rsid w:val="002F39CA"/>
    <w:rsid w:val="002F3C41"/>
    <w:rsid w:val="002F58BB"/>
    <w:rsid w:val="002F70E6"/>
    <w:rsid w:val="002F74F9"/>
    <w:rsid w:val="002F7665"/>
    <w:rsid w:val="002F7CF2"/>
    <w:rsid w:val="00300080"/>
    <w:rsid w:val="003002CE"/>
    <w:rsid w:val="0030110B"/>
    <w:rsid w:val="00301871"/>
    <w:rsid w:val="0030197B"/>
    <w:rsid w:val="00301B23"/>
    <w:rsid w:val="00302390"/>
    <w:rsid w:val="003024F2"/>
    <w:rsid w:val="00302555"/>
    <w:rsid w:val="00302AA6"/>
    <w:rsid w:val="00302BC4"/>
    <w:rsid w:val="00302C00"/>
    <w:rsid w:val="00302E09"/>
    <w:rsid w:val="00302F34"/>
    <w:rsid w:val="00303118"/>
    <w:rsid w:val="003037B6"/>
    <w:rsid w:val="00303B3E"/>
    <w:rsid w:val="00304115"/>
    <w:rsid w:val="0030436E"/>
    <w:rsid w:val="00305176"/>
    <w:rsid w:val="0030579E"/>
    <w:rsid w:val="003057EB"/>
    <w:rsid w:val="003057F7"/>
    <w:rsid w:val="00305873"/>
    <w:rsid w:val="00305958"/>
    <w:rsid w:val="00305AF2"/>
    <w:rsid w:val="00305D0B"/>
    <w:rsid w:val="00305D8D"/>
    <w:rsid w:val="00305FBB"/>
    <w:rsid w:val="00306A99"/>
    <w:rsid w:val="00307573"/>
    <w:rsid w:val="00307852"/>
    <w:rsid w:val="00307C18"/>
    <w:rsid w:val="00307C74"/>
    <w:rsid w:val="00310252"/>
    <w:rsid w:val="00310259"/>
    <w:rsid w:val="0031044A"/>
    <w:rsid w:val="00310D75"/>
    <w:rsid w:val="00310DAA"/>
    <w:rsid w:val="00310DFA"/>
    <w:rsid w:val="0031179F"/>
    <w:rsid w:val="00311CF2"/>
    <w:rsid w:val="00311FAC"/>
    <w:rsid w:val="0031236F"/>
    <w:rsid w:val="0031246C"/>
    <w:rsid w:val="003126E5"/>
    <w:rsid w:val="00312A83"/>
    <w:rsid w:val="0031339F"/>
    <w:rsid w:val="00313822"/>
    <w:rsid w:val="00313A48"/>
    <w:rsid w:val="00313D4E"/>
    <w:rsid w:val="00313EED"/>
    <w:rsid w:val="00314572"/>
    <w:rsid w:val="003148AC"/>
    <w:rsid w:val="00314B42"/>
    <w:rsid w:val="00314F60"/>
    <w:rsid w:val="00315B85"/>
    <w:rsid w:val="00316801"/>
    <w:rsid w:val="00316CC6"/>
    <w:rsid w:val="003170AA"/>
    <w:rsid w:val="0031733B"/>
    <w:rsid w:val="003206D1"/>
    <w:rsid w:val="00321343"/>
    <w:rsid w:val="00321639"/>
    <w:rsid w:val="00321CC4"/>
    <w:rsid w:val="00321E47"/>
    <w:rsid w:val="0032260A"/>
    <w:rsid w:val="003228F5"/>
    <w:rsid w:val="0032293F"/>
    <w:rsid w:val="003232F9"/>
    <w:rsid w:val="003235C3"/>
    <w:rsid w:val="0032360A"/>
    <w:rsid w:val="00323C4F"/>
    <w:rsid w:val="00323EEC"/>
    <w:rsid w:val="00324974"/>
    <w:rsid w:val="003251AB"/>
    <w:rsid w:val="0032592C"/>
    <w:rsid w:val="00325C2F"/>
    <w:rsid w:val="00325D61"/>
    <w:rsid w:val="00325DE8"/>
    <w:rsid w:val="0032663B"/>
    <w:rsid w:val="00326A73"/>
    <w:rsid w:val="00326B31"/>
    <w:rsid w:val="00326E16"/>
    <w:rsid w:val="00326F39"/>
    <w:rsid w:val="0032743E"/>
    <w:rsid w:val="0032751B"/>
    <w:rsid w:val="0032763D"/>
    <w:rsid w:val="00327AF7"/>
    <w:rsid w:val="00327C2B"/>
    <w:rsid w:val="00327D14"/>
    <w:rsid w:val="0033060C"/>
    <w:rsid w:val="00330D48"/>
    <w:rsid w:val="00331462"/>
    <w:rsid w:val="003314D6"/>
    <w:rsid w:val="00331C45"/>
    <w:rsid w:val="00332424"/>
    <w:rsid w:val="00332631"/>
    <w:rsid w:val="00332C32"/>
    <w:rsid w:val="003335D7"/>
    <w:rsid w:val="003336F9"/>
    <w:rsid w:val="0033376F"/>
    <w:rsid w:val="00333AC3"/>
    <w:rsid w:val="00333C86"/>
    <w:rsid w:val="00333DB6"/>
    <w:rsid w:val="0033492E"/>
    <w:rsid w:val="003351DE"/>
    <w:rsid w:val="00335982"/>
    <w:rsid w:val="00335A19"/>
    <w:rsid w:val="00335DA6"/>
    <w:rsid w:val="00336290"/>
    <w:rsid w:val="00336707"/>
    <w:rsid w:val="00336D63"/>
    <w:rsid w:val="003370DD"/>
    <w:rsid w:val="003371FE"/>
    <w:rsid w:val="00337720"/>
    <w:rsid w:val="00340634"/>
    <w:rsid w:val="003408E5"/>
    <w:rsid w:val="00340EF6"/>
    <w:rsid w:val="00340FD3"/>
    <w:rsid w:val="0034129C"/>
    <w:rsid w:val="00341541"/>
    <w:rsid w:val="003418B6"/>
    <w:rsid w:val="003418D2"/>
    <w:rsid w:val="00341957"/>
    <w:rsid w:val="003425B3"/>
    <w:rsid w:val="0034260F"/>
    <w:rsid w:val="003429B4"/>
    <w:rsid w:val="00342B9A"/>
    <w:rsid w:val="00342D55"/>
    <w:rsid w:val="003432CD"/>
    <w:rsid w:val="00343810"/>
    <w:rsid w:val="00343827"/>
    <w:rsid w:val="00343D88"/>
    <w:rsid w:val="00343FD1"/>
    <w:rsid w:val="00344049"/>
    <w:rsid w:val="00344B37"/>
    <w:rsid w:val="00344EAD"/>
    <w:rsid w:val="00344F58"/>
    <w:rsid w:val="003450B4"/>
    <w:rsid w:val="003457F8"/>
    <w:rsid w:val="0034697C"/>
    <w:rsid w:val="00346E77"/>
    <w:rsid w:val="00346FE8"/>
    <w:rsid w:val="00347222"/>
    <w:rsid w:val="0034734A"/>
    <w:rsid w:val="00347AAC"/>
    <w:rsid w:val="00350A12"/>
    <w:rsid w:val="00350A22"/>
    <w:rsid w:val="00350A4B"/>
    <w:rsid w:val="00350C1E"/>
    <w:rsid w:val="00350E23"/>
    <w:rsid w:val="00351667"/>
    <w:rsid w:val="00351C21"/>
    <w:rsid w:val="00351F49"/>
    <w:rsid w:val="00352266"/>
    <w:rsid w:val="0035246A"/>
    <w:rsid w:val="003524FD"/>
    <w:rsid w:val="003525F9"/>
    <w:rsid w:val="003526F1"/>
    <w:rsid w:val="00352962"/>
    <w:rsid w:val="00352E5B"/>
    <w:rsid w:val="00353068"/>
    <w:rsid w:val="003538C4"/>
    <w:rsid w:val="00354380"/>
    <w:rsid w:val="0035442E"/>
    <w:rsid w:val="003544FE"/>
    <w:rsid w:val="00354742"/>
    <w:rsid w:val="003548DE"/>
    <w:rsid w:val="00354946"/>
    <w:rsid w:val="00354ABD"/>
    <w:rsid w:val="00354C6F"/>
    <w:rsid w:val="00354EC9"/>
    <w:rsid w:val="00355530"/>
    <w:rsid w:val="0035555A"/>
    <w:rsid w:val="00355807"/>
    <w:rsid w:val="0035580C"/>
    <w:rsid w:val="00355A5C"/>
    <w:rsid w:val="00355C7B"/>
    <w:rsid w:val="0035602D"/>
    <w:rsid w:val="00356237"/>
    <w:rsid w:val="0035631F"/>
    <w:rsid w:val="0035706A"/>
    <w:rsid w:val="00357120"/>
    <w:rsid w:val="00357458"/>
    <w:rsid w:val="00357B9D"/>
    <w:rsid w:val="00357CA8"/>
    <w:rsid w:val="00357FA1"/>
    <w:rsid w:val="003600A7"/>
    <w:rsid w:val="0036026B"/>
    <w:rsid w:val="003605F9"/>
    <w:rsid w:val="003619E2"/>
    <w:rsid w:val="00361BDD"/>
    <w:rsid w:val="003620B3"/>
    <w:rsid w:val="0036343F"/>
    <w:rsid w:val="003635E8"/>
    <w:rsid w:val="00363F71"/>
    <w:rsid w:val="003643CC"/>
    <w:rsid w:val="00364D1B"/>
    <w:rsid w:val="003653BB"/>
    <w:rsid w:val="00365405"/>
    <w:rsid w:val="0036592D"/>
    <w:rsid w:val="00366500"/>
    <w:rsid w:val="003669CC"/>
    <w:rsid w:val="00366B8F"/>
    <w:rsid w:val="00366C42"/>
    <w:rsid w:val="003678BF"/>
    <w:rsid w:val="00367D65"/>
    <w:rsid w:val="00370054"/>
    <w:rsid w:val="003700CC"/>
    <w:rsid w:val="0037014C"/>
    <w:rsid w:val="00370642"/>
    <w:rsid w:val="00371582"/>
    <w:rsid w:val="00371BD5"/>
    <w:rsid w:val="00372055"/>
    <w:rsid w:val="00372187"/>
    <w:rsid w:val="0037222C"/>
    <w:rsid w:val="0037231F"/>
    <w:rsid w:val="003725A6"/>
    <w:rsid w:val="00372E9F"/>
    <w:rsid w:val="00373244"/>
    <w:rsid w:val="00373A1A"/>
    <w:rsid w:val="00373A69"/>
    <w:rsid w:val="0037454F"/>
    <w:rsid w:val="00374F5C"/>
    <w:rsid w:val="00375039"/>
    <w:rsid w:val="003751A1"/>
    <w:rsid w:val="00375F6C"/>
    <w:rsid w:val="003760CA"/>
    <w:rsid w:val="003762EC"/>
    <w:rsid w:val="003768E7"/>
    <w:rsid w:val="00376CF8"/>
    <w:rsid w:val="00377409"/>
    <w:rsid w:val="00377618"/>
    <w:rsid w:val="00377679"/>
    <w:rsid w:val="00377A55"/>
    <w:rsid w:val="00377EB2"/>
    <w:rsid w:val="0038036E"/>
    <w:rsid w:val="003805C5"/>
    <w:rsid w:val="00380607"/>
    <w:rsid w:val="0038087B"/>
    <w:rsid w:val="00380FBB"/>
    <w:rsid w:val="00381D99"/>
    <w:rsid w:val="00381DE3"/>
    <w:rsid w:val="003821A9"/>
    <w:rsid w:val="0038274A"/>
    <w:rsid w:val="00382841"/>
    <w:rsid w:val="00382A11"/>
    <w:rsid w:val="00382C05"/>
    <w:rsid w:val="00382CC2"/>
    <w:rsid w:val="00383077"/>
    <w:rsid w:val="0038310E"/>
    <w:rsid w:val="003831FC"/>
    <w:rsid w:val="003832CA"/>
    <w:rsid w:val="003833D3"/>
    <w:rsid w:val="00383524"/>
    <w:rsid w:val="00383D77"/>
    <w:rsid w:val="0038410A"/>
    <w:rsid w:val="003847A7"/>
    <w:rsid w:val="00384847"/>
    <w:rsid w:val="00384EB6"/>
    <w:rsid w:val="003854FC"/>
    <w:rsid w:val="00385754"/>
    <w:rsid w:val="00385B3D"/>
    <w:rsid w:val="0038618A"/>
    <w:rsid w:val="003864C1"/>
    <w:rsid w:val="00387163"/>
    <w:rsid w:val="00387682"/>
    <w:rsid w:val="00387985"/>
    <w:rsid w:val="00387DD2"/>
    <w:rsid w:val="00387EA3"/>
    <w:rsid w:val="00387EB7"/>
    <w:rsid w:val="00390272"/>
    <w:rsid w:val="00390445"/>
    <w:rsid w:val="00390ABE"/>
    <w:rsid w:val="00390E2F"/>
    <w:rsid w:val="00390F9A"/>
    <w:rsid w:val="00391119"/>
    <w:rsid w:val="003911BE"/>
    <w:rsid w:val="0039149C"/>
    <w:rsid w:val="00391649"/>
    <w:rsid w:val="00391685"/>
    <w:rsid w:val="0039171C"/>
    <w:rsid w:val="00391A0D"/>
    <w:rsid w:val="003930B1"/>
    <w:rsid w:val="00393610"/>
    <w:rsid w:val="00393814"/>
    <w:rsid w:val="00393A5E"/>
    <w:rsid w:val="00393DB2"/>
    <w:rsid w:val="00393E98"/>
    <w:rsid w:val="0039401A"/>
    <w:rsid w:val="003940F6"/>
    <w:rsid w:val="00394732"/>
    <w:rsid w:val="0039522C"/>
    <w:rsid w:val="00395491"/>
    <w:rsid w:val="003955F9"/>
    <w:rsid w:val="0039568B"/>
    <w:rsid w:val="00395C71"/>
    <w:rsid w:val="0039639A"/>
    <w:rsid w:val="00396E43"/>
    <w:rsid w:val="00397950"/>
    <w:rsid w:val="003A1535"/>
    <w:rsid w:val="003A19DD"/>
    <w:rsid w:val="003A1C31"/>
    <w:rsid w:val="003A1DD3"/>
    <w:rsid w:val="003A1ED2"/>
    <w:rsid w:val="003A226D"/>
    <w:rsid w:val="003A2303"/>
    <w:rsid w:val="003A2650"/>
    <w:rsid w:val="003A2F22"/>
    <w:rsid w:val="003A2F68"/>
    <w:rsid w:val="003A393D"/>
    <w:rsid w:val="003A3D60"/>
    <w:rsid w:val="003A3EFD"/>
    <w:rsid w:val="003A55E5"/>
    <w:rsid w:val="003A58AB"/>
    <w:rsid w:val="003A59CC"/>
    <w:rsid w:val="003A5ED9"/>
    <w:rsid w:val="003A671D"/>
    <w:rsid w:val="003A6F20"/>
    <w:rsid w:val="003A73E9"/>
    <w:rsid w:val="003A751A"/>
    <w:rsid w:val="003A77FB"/>
    <w:rsid w:val="003A7887"/>
    <w:rsid w:val="003A79CC"/>
    <w:rsid w:val="003A7A66"/>
    <w:rsid w:val="003A7C89"/>
    <w:rsid w:val="003B043C"/>
    <w:rsid w:val="003B05F3"/>
    <w:rsid w:val="003B0917"/>
    <w:rsid w:val="003B0AEC"/>
    <w:rsid w:val="003B0B55"/>
    <w:rsid w:val="003B0BF9"/>
    <w:rsid w:val="003B0F3C"/>
    <w:rsid w:val="003B106D"/>
    <w:rsid w:val="003B122C"/>
    <w:rsid w:val="003B157E"/>
    <w:rsid w:val="003B176A"/>
    <w:rsid w:val="003B231D"/>
    <w:rsid w:val="003B2589"/>
    <w:rsid w:val="003B2772"/>
    <w:rsid w:val="003B29D1"/>
    <w:rsid w:val="003B2DAD"/>
    <w:rsid w:val="003B2E0D"/>
    <w:rsid w:val="003B3061"/>
    <w:rsid w:val="003B32F5"/>
    <w:rsid w:val="003B3CA1"/>
    <w:rsid w:val="003B3DD7"/>
    <w:rsid w:val="003B40C5"/>
    <w:rsid w:val="003B4225"/>
    <w:rsid w:val="003B4416"/>
    <w:rsid w:val="003B4517"/>
    <w:rsid w:val="003B4596"/>
    <w:rsid w:val="003B4958"/>
    <w:rsid w:val="003B4B61"/>
    <w:rsid w:val="003B4E82"/>
    <w:rsid w:val="003B4E8A"/>
    <w:rsid w:val="003B4F5F"/>
    <w:rsid w:val="003B5956"/>
    <w:rsid w:val="003B59EB"/>
    <w:rsid w:val="003B5AFC"/>
    <w:rsid w:val="003B5CF4"/>
    <w:rsid w:val="003B5E0D"/>
    <w:rsid w:val="003B63B8"/>
    <w:rsid w:val="003B67CC"/>
    <w:rsid w:val="003B6F73"/>
    <w:rsid w:val="003B6FC7"/>
    <w:rsid w:val="003B7218"/>
    <w:rsid w:val="003B7911"/>
    <w:rsid w:val="003B7E75"/>
    <w:rsid w:val="003B7F00"/>
    <w:rsid w:val="003C047E"/>
    <w:rsid w:val="003C059E"/>
    <w:rsid w:val="003C0AF1"/>
    <w:rsid w:val="003C0D4A"/>
    <w:rsid w:val="003C1010"/>
    <w:rsid w:val="003C1881"/>
    <w:rsid w:val="003C1D7C"/>
    <w:rsid w:val="003C2000"/>
    <w:rsid w:val="003C20D4"/>
    <w:rsid w:val="003C255E"/>
    <w:rsid w:val="003C2CDC"/>
    <w:rsid w:val="003C2F71"/>
    <w:rsid w:val="003C3A8A"/>
    <w:rsid w:val="003C3B0A"/>
    <w:rsid w:val="003C3FC7"/>
    <w:rsid w:val="003C459B"/>
    <w:rsid w:val="003C4728"/>
    <w:rsid w:val="003C47AE"/>
    <w:rsid w:val="003C497D"/>
    <w:rsid w:val="003C4C63"/>
    <w:rsid w:val="003C4FFE"/>
    <w:rsid w:val="003C5B9A"/>
    <w:rsid w:val="003C62B6"/>
    <w:rsid w:val="003C63A8"/>
    <w:rsid w:val="003C6736"/>
    <w:rsid w:val="003C6964"/>
    <w:rsid w:val="003C6D10"/>
    <w:rsid w:val="003C7780"/>
    <w:rsid w:val="003D02FF"/>
    <w:rsid w:val="003D059B"/>
    <w:rsid w:val="003D0704"/>
    <w:rsid w:val="003D18B3"/>
    <w:rsid w:val="003D1A9B"/>
    <w:rsid w:val="003D1AF5"/>
    <w:rsid w:val="003D1F47"/>
    <w:rsid w:val="003D20EE"/>
    <w:rsid w:val="003D24AD"/>
    <w:rsid w:val="003D27EA"/>
    <w:rsid w:val="003D2B34"/>
    <w:rsid w:val="003D30B2"/>
    <w:rsid w:val="003D319B"/>
    <w:rsid w:val="003D346F"/>
    <w:rsid w:val="003D3533"/>
    <w:rsid w:val="003D390C"/>
    <w:rsid w:val="003D3CC7"/>
    <w:rsid w:val="003D3FE3"/>
    <w:rsid w:val="003D436C"/>
    <w:rsid w:val="003D49EB"/>
    <w:rsid w:val="003D4BA1"/>
    <w:rsid w:val="003D4E5B"/>
    <w:rsid w:val="003D4E7C"/>
    <w:rsid w:val="003D5106"/>
    <w:rsid w:val="003D5263"/>
    <w:rsid w:val="003D56E4"/>
    <w:rsid w:val="003D5CEC"/>
    <w:rsid w:val="003D5D0F"/>
    <w:rsid w:val="003D5FE5"/>
    <w:rsid w:val="003D6013"/>
    <w:rsid w:val="003D63F3"/>
    <w:rsid w:val="003D65E7"/>
    <w:rsid w:val="003D6687"/>
    <w:rsid w:val="003D69D5"/>
    <w:rsid w:val="003D6FEE"/>
    <w:rsid w:val="003D76F1"/>
    <w:rsid w:val="003D7B7A"/>
    <w:rsid w:val="003D7D6C"/>
    <w:rsid w:val="003E0195"/>
    <w:rsid w:val="003E02DF"/>
    <w:rsid w:val="003E0687"/>
    <w:rsid w:val="003E1086"/>
    <w:rsid w:val="003E14D7"/>
    <w:rsid w:val="003E1555"/>
    <w:rsid w:val="003E19C0"/>
    <w:rsid w:val="003E19EC"/>
    <w:rsid w:val="003E2197"/>
    <w:rsid w:val="003E21A4"/>
    <w:rsid w:val="003E23E9"/>
    <w:rsid w:val="003E25F4"/>
    <w:rsid w:val="003E2FCB"/>
    <w:rsid w:val="003E3072"/>
    <w:rsid w:val="003E33C9"/>
    <w:rsid w:val="003E3519"/>
    <w:rsid w:val="003E38E3"/>
    <w:rsid w:val="003E467D"/>
    <w:rsid w:val="003E5497"/>
    <w:rsid w:val="003E55AE"/>
    <w:rsid w:val="003E56DF"/>
    <w:rsid w:val="003E574F"/>
    <w:rsid w:val="003E5805"/>
    <w:rsid w:val="003E6304"/>
    <w:rsid w:val="003E66D3"/>
    <w:rsid w:val="003E692D"/>
    <w:rsid w:val="003E698F"/>
    <w:rsid w:val="003E6F4C"/>
    <w:rsid w:val="003E7158"/>
    <w:rsid w:val="003E752B"/>
    <w:rsid w:val="003E75ED"/>
    <w:rsid w:val="003E78FE"/>
    <w:rsid w:val="003E7978"/>
    <w:rsid w:val="003E7BBE"/>
    <w:rsid w:val="003F004C"/>
    <w:rsid w:val="003F011E"/>
    <w:rsid w:val="003F0492"/>
    <w:rsid w:val="003F04F8"/>
    <w:rsid w:val="003F0575"/>
    <w:rsid w:val="003F0621"/>
    <w:rsid w:val="003F07F6"/>
    <w:rsid w:val="003F09DA"/>
    <w:rsid w:val="003F0BBA"/>
    <w:rsid w:val="003F22BA"/>
    <w:rsid w:val="003F289E"/>
    <w:rsid w:val="003F2DD4"/>
    <w:rsid w:val="003F2EFF"/>
    <w:rsid w:val="003F2F3A"/>
    <w:rsid w:val="003F3742"/>
    <w:rsid w:val="003F3761"/>
    <w:rsid w:val="003F38FE"/>
    <w:rsid w:val="003F3C1C"/>
    <w:rsid w:val="003F40C5"/>
    <w:rsid w:val="003F4C33"/>
    <w:rsid w:val="003F4C9F"/>
    <w:rsid w:val="003F4F4A"/>
    <w:rsid w:val="003F52A4"/>
    <w:rsid w:val="003F52E2"/>
    <w:rsid w:val="003F56A8"/>
    <w:rsid w:val="003F615B"/>
    <w:rsid w:val="003F6234"/>
    <w:rsid w:val="003F6257"/>
    <w:rsid w:val="003F661C"/>
    <w:rsid w:val="003F6764"/>
    <w:rsid w:val="003F67FE"/>
    <w:rsid w:val="003F7400"/>
    <w:rsid w:val="003F7978"/>
    <w:rsid w:val="003F79D6"/>
    <w:rsid w:val="003F7A5B"/>
    <w:rsid w:val="003F7CD1"/>
    <w:rsid w:val="004004AD"/>
    <w:rsid w:val="004005A3"/>
    <w:rsid w:val="004014D7"/>
    <w:rsid w:val="00401D90"/>
    <w:rsid w:val="00401DFB"/>
    <w:rsid w:val="00402384"/>
    <w:rsid w:val="00402389"/>
    <w:rsid w:val="004025A9"/>
    <w:rsid w:val="00403190"/>
    <w:rsid w:val="004032B8"/>
    <w:rsid w:val="0040346D"/>
    <w:rsid w:val="004037CA"/>
    <w:rsid w:val="00404693"/>
    <w:rsid w:val="004051DB"/>
    <w:rsid w:val="00405295"/>
    <w:rsid w:val="00405775"/>
    <w:rsid w:val="0040638E"/>
    <w:rsid w:val="0040652D"/>
    <w:rsid w:val="00406532"/>
    <w:rsid w:val="004066CD"/>
    <w:rsid w:val="004068F1"/>
    <w:rsid w:val="00406901"/>
    <w:rsid w:val="00406D5B"/>
    <w:rsid w:val="00406DCA"/>
    <w:rsid w:val="0040743C"/>
    <w:rsid w:val="00407547"/>
    <w:rsid w:val="004075C8"/>
    <w:rsid w:val="004076CD"/>
    <w:rsid w:val="00407F11"/>
    <w:rsid w:val="00407F1A"/>
    <w:rsid w:val="00410306"/>
    <w:rsid w:val="0041092A"/>
    <w:rsid w:val="00410DF7"/>
    <w:rsid w:val="00410F1F"/>
    <w:rsid w:val="004113C7"/>
    <w:rsid w:val="00411418"/>
    <w:rsid w:val="00411530"/>
    <w:rsid w:val="0041154E"/>
    <w:rsid w:val="0041160E"/>
    <w:rsid w:val="00411C75"/>
    <w:rsid w:val="00411EC1"/>
    <w:rsid w:val="004122C0"/>
    <w:rsid w:val="004122E0"/>
    <w:rsid w:val="0041262D"/>
    <w:rsid w:val="00412F9A"/>
    <w:rsid w:val="00413803"/>
    <w:rsid w:val="0041389C"/>
    <w:rsid w:val="00413E2A"/>
    <w:rsid w:val="00414084"/>
    <w:rsid w:val="00414489"/>
    <w:rsid w:val="00414975"/>
    <w:rsid w:val="00414A8A"/>
    <w:rsid w:val="00414E9A"/>
    <w:rsid w:val="00414F80"/>
    <w:rsid w:val="004150BD"/>
    <w:rsid w:val="00415236"/>
    <w:rsid w:val="004154E6"/>
    <w:rsid w:val="00415530"/>
    <w:rsid w:val="00415549"/>
    <w:rsid w:val="004157AF"/>
    <w:rsid w:val="00415C96"/>
    <w:rsid w:val="00415E4F"/>
    <w:rsid w:val="00415F80"/>
    <w:rsid w:val="0041617E"/>
    <w:rsid w:val="004166E2"/>
    <w:rsid w:val="0041676F"/>
    <w:rsid w:val="00416889"/>
    <w:rsid w:val="00416ABB"/>
    <w:rsid w:val="00416B0F"/>
    <w:rsid w:val="00417527"/>
    <w:rsid w:val="0041757F"/>
    <w:rsid w:val="004177EF"/>
    <w:rsid w:val="00417976"/>
    <w:rsid w:val="00417C43"/>
    <w:rsid w:val="00417CE4"/>
    <w:rsid w:val="00417FAE"/>
    <w:rsid w:val="00420C73"/>
    <w:rsid w:val="0042163C"/>
    <w:rsid w:val="00421AE0"/>
    <w:rsid w:val="00422C6B"/>
    <w:rsid w:val="00422F9C"/>
    <w:rsid w:val="00423372"/>
    <w:rsid w:val="004233FD"/>
    <w:rsid w:val="00423A63"/>
    <w:rsid w:val="00423C5D"/>
    <w:rsid w:val="00424096"/>
    <w:rsid w:val="004240ED"/>
    <w:rsid w:val="00424318"/>
    <w:rsid w:val="004243E7"/>
    <w:rsid w:val="004245A4"/>
    <w:rsid w:val="00424A51"/>
    <w:rsid w:val="00424B8F"/>
    <w:rsid w:val="004250FE"/>
    <w:rsid w:val="004258CF"/>
    <w:rsid w:val="00425D27"/>
    <w:rsid w:val="004264F5"/>
    <w:rsid w:val="004265B6"/>
    <w:rsid w:val="004267A1"/>
    <w:rsid w:val="00426C92"/>
    <w:rsid w:val="00426CF4"/>
    <w:rsid w:val="00427250"/>
    <w:rsid w:val="004277A1"/>
    <w:rsid w:val="00427C5E"/>
    <w:rsid w:val="00427CEF"/>
    <w:rsid w:val="0043062E"/>
    <w:rsid w:val="004313F8"/>
    <w:rsid w:val="00431678"/>
    <w:rsid w:val="004316B4"/>
    <w:rsid w:val="00431834"/>
    <w:rsid w:val="00431BD2"/>
    <w:rsid w:val="0043305A"/>
    <w:rsid w:val="004331E3"/>
    <w:rsid w:val="00433AD3"/>
    <w:rsid w:val="0043434B"/>
    <w:rsid w:val="0043442D"/>
    <w:rsid w:val="004345C4"/>
    <w:rsid w:val="00434B0E"/>
    <w:rsid w:val="00434F8C"/>
    <w:rsid w:val="0043504B"/>
    <w:rsid w:val="00435506"/>
    <w:rsid w:val="00435550"/>
    <w:rsid w:val="00435C11"/>
    <w:rsid w:val="00435C90"/>
    <w:rsid w:val="00435D5D"/>
    <w:rsid w:val="00435D8E"/>
    <w:rsid w:val="00436416"/>
    <w:rsid w:val="004367A2"/>
    <w:rsid w:val="0043695B"/>
    <w:rsid w:val="00436A8C"/>
    <w:rsid w:val="00436C42"/>
    <w:rsid w:val="00436D79"/>
    <w:rsid w:val="004371FA"/>
    <w:rsid w:val="00437CF4"/>
    <w:rsid w:val="00440FC5"/>
    <w:rsid w:val="00441301"/>
    <w:rsid w:val="00441626"/>
    <w:rsid w:val="004418C5"/>
    <w:rsid w:val="00441C4A"/>
    <w:rsid w:val="00441CB5"/>
    <w:rsid w:val="00441D7F"/>
    <w:rsid w:val="004423D4"/>
    <w:rsid w:val="00442644"/>
    <w:rsid w:val="004428FB"/>
    <w:rsid w:val="004429BC"/>
    <w:rsid w:val="00442C2B"/>
    <w:rsid w:val="00442D2F"/>
    <w:rsid w:val="00443994"/>
    <w:rsid w:val="00443B41"/>
    <w:rsid w:val="004441B9"/>
    <w:rsid w:val="004443F7"/>
    <w:rsid w:val="004445CA"/>
    <w:rsid w:val="00444615"/>
    <w:rsid w:val="00444892"/>
    <w:rsid w:val="00444C8C"/>
    <w:rsid w:val="004450E2"/>
    <w:rsid w:val="004452A8"/>
    <w:rsid w:val="004454AE"/>
    <w:rsid w:val="004454E0"/>
    <w:rsid w:val="00445A21"/>
    <w:rsid w:val="0044633B"/>
    <w:rsid w:val="00446503"/>
    <w:rsid w:val="004465ED"/>
    <w:rsid w:val="0044663E"/>
    <w:rsid w:val="00446E66"/>
    <w:rsid w:val="00446F8F"/>
    <w:rsid w:val="00447E27"/>
    <w:rsid w:val="00450046"/>
    <w:rsid w:val="004505BE"/>
    <w:rsid w:val="004507A4"/>
    <w:rsid w:val="004516E4"/>
    <w:rsid w:val="0045178A"/>
    <w:rsid w:val="0045192E"/>
    <w:rsid w:val="004519FE"/>
    <w:rsid w:val="00451AF7"/>
    <w:rsid w:val="00451D2D"/>
    <w:rsid w:val="00451DA8"/>
    <w:rsid w:val="00451E4D"/>
    <w:rsid w:val="00451F0B"/>
    <w:rsid w:val="00452493"/>
    <w:rsid w:val="00452837"/>
    <w:rsid w:val="00452844"/>
    <w:rsid w:val="00452A96"/>
    <w:rsid w:val="00452E3F"/>
    <w:rsid w:val="0045341C"/>
    <w:rsid w:val="00453904"/>
    <w:rsid w:val="00453B9E"/>
    <w:rsid w:val="00453C1D"/>
    <w:rsid w:val="0045407A"/>
    <w:rsid w:val="0045430C"/>
    <w:rsid w:val="00454CF2"/>
    <w:rsid w:val="00454D0B"/>
    <w:rsid w:val="00455561"/>
    <w:rsid w:val="00455A6F"/>
    <w:rsid w:val="00456876"/>
    <w:rsid w:val="00456A13"/>
    <w:rsid w:val="00456E19"/>
    <w:rsid w:val="00456F69"/>
    <w:rsid w:val="00456FDA"/>
    <w:rsid w:val="0045720E"/>
    <w:rsid w:val="00457284"/>
    <w:rsid w:val="004574CB"/>
    <w:rsid w:val="004574F0"/>
    <w:rsid w:val="004576E1"/>
    <w:rsid w:val="00460330"/>
    <w:rsid w:val="00460584"/>
    <w:rsid w:val="004607BE"/>
    <w:rsid w:val="004609DA"/>
    <w:rsid w:val="00460A41"/>
    <w:rsid w:val="004613C5"/>
    <w:rsid w:val="00461533"/>
    <w:rsid w:val="004629D2"/>
    <w:rsid w:val="00462B27"/>
    <w:rsid w:val="00462C01"/>
    <w:rsid w:val="00462D91"/>
    <w:rsid w:val="00463D1D"/>
    <w:rsid w:val="00463EA0"/>
    <w:rsid w:val="00463EB4"/>
    <w:rsid w:val="00464500"/>
    <w:rsid w:val="00464630"/>
    <w:rsid w:val="00464C61"/>
    <w:rsid w:val="00464DB8"/>
    <w:rsid w:val="00465183"/>
    <w:rsid w:val="00465608"/>
    <w:rsid w:val="00465DA8"/>
    <w:rsid w:val="00465F0B"/>
    <w:rsid w:val="0046627E"/>
    <w:rsid w:val="004665C0"/>
    <w:rsid w:val="0046675B"/>
    <w:rsid w:val="00466B38"/>
    <w:rsid w:val="00466C02"/>
    <w:rsid w:val="0046799C"/>
    <w:rsid w:val="00467CC5"/>
    <w:rsid w:val="00467EB6"/>
    <w:rsid w:val="004702C8"/>
    <w:rsid w:val="00470671"/>
    <w:rsid w:val="0047099A"/>
    <w:rsid w:val="00470DB1"/>
    <w:rsid w:val="004711F3"/>
    <w:rsid w:val="00471542"/>
    <w:rsid w:val="00471A17"/>
    <w:rsid w:val="00471BCE"/>
    <w:rsid w:val="00471DDB"/>
    <w:rsid w:val="0047242D"/>
    <w:rsid w:val="00472448"/>
    <w:rsid w:val="00472578"/>
    <w:rsid w:val="004726A3"/>
    <w:rsid w:val="00472931"/>
    <w:rsid w:val="0047378C"/>
    <w:rsid w:val="00473AA0"/>
    <w:rsid w:val="00473E98"/>
    <w:rsid w:val="0047457A"/>
    <w:rsid w:val="00474890"/>
    <w:rsid w:val="004749C0"/>
    <w:rsid w:val="00474A94"/>
    <w:rsid w:val="00474E73"/>
    <w:rsid w:val="0047515F"/>
    <w:rsid w:val="004757A4"/>
    <w:rsid w:val="004757DB"/>
    <w:rsid w:val="00475952"/>
    <w:rsid w:val="00475A49"/>
    <w:rsid w:val="00475B79"/>
    <w:rsid w:val="00475D89"/>
    <w:rsid w:val="00475FC5"/>
    <w:rsid w:val="00476511"/>
    <w:rsid w:val="004767E6"/>
    <w:rsid w:val="00476C02"/>
    <w:rsid w:val="00476CB5"/>
    <w:rsid w:val="00476DA9"/>
    <w:rsid w:val="00477665"/>
    <w:rsid w:val="0047768D"/>
    <w:rsid w:val="00477AD6"/>
    <w:rsid w:val="00477AE5"/>
    <w:rsid w:val="00477F13"/>
    <w:rsid w:val="00477FEB"/>
    <w:rsid w:val="00480E10"/>
    <w:rsid w:val="00481022"/>
    <w:rsid w:val="004810AB"/>
    <w:rsid w:val="00481110"/>
    <w:rsid w:val="0048120D"/>
    <w:rsid w:val="00481B8A"/>
    <w:rsid w:val="00481CA5"/>
    <w:rsid w:val="00481F87"/>
    <w:rsid w:val="0048210C"/>
    <w:rsid w:val="004826CC"/>
    <w:rsid w:val="00482F42"/>
    <w:rsid w:val="00483BA4"/>
    <w:rsid w:val="00483F92"/>
    <w:rsid w:val="004841F9"/>
    <w:rsid w:val="00484554"/>
    <w:rsid w:val="00484557"/>
    <w:rsid w:val="004845F9"/>
    <w:rsid w:val="00484656"/>
    <w:rsid w:val="0048490B"/>
    <w:rsid w:val="00484C6C"/>
    <w:rsid w:val="00485065"/>
    <w:rsid w:val="00485109"/>
    <w:rsid w:val="0048539D"/>
    <w:rsid w:val="004856F7"/>
    <w:rsid w:val="004857AC"/>
    <w:rsid w:val="00485A68"/>
    <w:rsid w:val="00485AF7"/>
    <w:rsid w:val="00485F22"/>
    <w:rsid w:val="004860AA"/>
    <w:rsid w:val="00486135"/>
    <w:rsid w:val="004864F9"/>
    <w:rsid w:val="0048742D"/>
    <w:rsid w:val="0048763B"/>
    <w:rsid w:val="004905DF"/>
    <w:rsid w:val="00490928"/>
    <w:rsid w:val="00490E3E"/>
    <w:rsid w:val="00490EBB"/>
    <w:rsid w:val="004912D7"/>
    <w:rsid w:val="00491684"/>
    <w:rsid w:val="00491AEB"/>
    <w:rsid w:val="00491F0C"/>
    <w:rsid w:val="0049210E"/>
    <w:rsid w:val="004922BE"/>
    <w:rsid w:val="004922E4"/>
    <w:rsid w:val="00492656"/>
    <w:rsid w:val="00492946"/>
    <w:rsid w:val="00492D56"/>
    <w:rsid w:val="00492EBB"/>
    <w:rsid w:val="00492F93"/>
    <w:rsid w:val="0049302E"/>
    <w:rsid w:val="0049310F"/>
    <w:rsid w:val="00493272"/>
    <w:rsid w:val="0049337D"/>
    <w:rsid w:val="00493428"/>
    <w:rsid w:val="004934D3"/>
    <w:rsid w:val="004935A2"/>
    <w:rsid w:val="004937EC"/>
    <w:rsid w:val="00493B98"/>
    <w:rsid w:val="00493BAD"/>
    <w:rsid w:val="00494434"/>
    <w:rsid w:val="004948B1"/>
    <w:rsid w:val="00494945"/>
    <w:rsid w:val="004951C8"/>
    <w:rsid w:val="004953C6"/>
    <w:rsid w:val="004968F7"/>
    <w:rsid w:val="00497536"/>
    <w:rsid w:val="004976F7"/>
    <w:rsid w:val="00497734"/>
    <w:rsid w:val="0049795D"/>
    <w:rsid w:val="00497CA4"/>
    <w:rsid w:val="004A00D2"/>
    <w:rsid w:val="004A07B4"/>
    <w:rsid w:val="004A0996"/>
    <w:rsid w:val="004A09A3"/>
    <w:rsid w:val="004A0BE8"/>
    <w:rsid w:val="004A0C84"/>
    <w:rsid w:val="004A0EBE"/>
    <w:rsid w:val="004A0FDD"/>
    <w:rsid w:val="004A1162"/>
    <w:rsid w:val="004A1327"/>
    <w:rsid w:val="004A1966"/>
    <w:rsid w:val="004A19BF"/>
    <w:rsid w:val="004A1E21"/>
    <w:rsid w:val="004A219A"/>
    <w:rsid w:val="004A2786"/>
    <w:rsid w:val="004A2CBE"/>
    <w:rsid w:val="004A2E91"/>
    <w:rsid w:val="004A2F3A"/>
    <w:rsid w:val="004A3191"/>
    <w:rsid w:val="004A3554"/>
    <w:rsid w:val="004A3620"/>
    <w:rsid w:val="004A3989"/>
    <w:rsid w:val="004A3ADE"/>
    <w:rsid w:val="004A3D93"/>
    <w:rsid w:val="004A3F49"/>
    <w:rsid w:val="004A40EE"/>
    <w:rsid w:val="004A423F"/>
    <w:rsid w:val="004A4EEA"/>
    <w:rsid w:val="004A568D"/>
    <w:rsid w:val="004A580F"/>
    <w:rsid w:val="004A5C86"/>
    <w:rsid w:val="004A6860"/>
    <w:rsid w:val="004A6E0A"/>
    <w:rsid w:val="004A7091"/>
    <w:rsid w:val="004A71C0"/>
    <w:rsid w:val="004A76CD"/>
    <w:rsid w:val="004A7821"/>
    <w:rsid w:val="004A78C2"/>
    <w:rsid w:val="004A790B"/>
    <w:rsid w:val="004A7A1D"/>
    <w:rsid w:val="004A7ECE"/>
    <w:rsid w:val="004B0141"/>
    <w:rsid w:val="004B08A7"/>
    <w:rsid w:val="004B0B3D"/>
    <w:rsid w:val="004B1564"/>
    <w:rsid w:val="004B1C7F"/>
    <w:rsid w:val="004B20FC"/>
    <w:rsid w:val="004B226A"/>
    <w:rsid w:val="004B2386"/>
    <w:rsid w:val="004B2B0A"/>
    <w:rsid w:val="004B2DBA"/>
    <w:rsid w:val="004B3090"/>
    <w:rsid w:val="004B3350"/>
    <w:rsid w:val="004B3419"/>
    <w:rsid w:val="004B34BB"/>
    <w:rsid w:val="004B359E"/>
    <w:rsid w:val="004B39A0"/>
    <w:rsid w:val="004B4263"/>
    <w:rsid w:val="004B454A"/>
    <w:rsid w:val="004B490C"/>
    <w:rsid w:val="004B4D32"/>
    <w:rsid w:val="004B502B"/>
    <w:rsid w:val="004B53EA"/>
    <w:rsid w:val="004B5957"/>
    <w:rsid w:val="004B5AB8"/>
    <w:rsid w:val="004B674D"/>
    <w:rsid w:val="004B6784"/>
    <w:rsid w:val="004B6AD4"/>
    <w:rsid w:val="004B6B07"/>
    <w:rsid w:val="004B6C5D"/>
    <w:rsid w:val="004B7202"/>
    <w:rsid w:val="004B74A5"/>
    <w:rsid w:val="004B7662"/>
    <w:rsid w:val="004C02B7"/>
    <w:rsid w:val="004C0437"/>
    <w:rsid w:val="004C0DC3"/>
    <w:rsid w:val="004C0E72"/>
    <w:rsid w:val="004C0F2D"/>
    <w:rsid w:val="004C0F51"/>
    <w:rsid w:val="004C10B3"/>
    <w:rsid w:val="004C10FF"/>
    <w:rsid w:val="004C1223"/>
    <w:rsid w:val="004C16BA"/>
    <w:rsid w:val="004C1CEE"/>
    <w:rsid w:val="004C24DD"/>
    <w:rsid w:val="004C2BA2"/>
    <w:rsid w:val="004C2BA7"/>
    <w:rsid w:val="004C35FF"/>
    <w:rsid w:val="004C4083"/>
    <w:rsid w:val="004C45A1"/>
    <w:rsid w:val="004C4CF9"/>
    <w:rsid w:val="004C51F8"/>
    <w:rsid w:val="004C5749"/>
    <w:rsid w:val="004C5955"/>
    <w:rsid w:val="004C5D48"/>
    <w:rsid w:val="004C6441"/>
    <w:rsid w:val="004C653C"/>
    <w:rsid w:val="004C6727"/>
    <w:rsid w:val="004C681D"/>
    <w:rsid w:val="004C7120"/>
    <w:rsid w:val="004C71AA"/>
    <w:rsid w:val="004D024B"/>
    <w:rsid w:val="004D06AF"/>
    <w:rsid w:val="004D1320"/>
    <w:rsid w:val="004D1526"/>
    <w:rsid w:val="004D177B"/>
    <w:rsid w:val="004D1FC3"/>
    <w:rsid w:val="004D225C"/>
    <w:rsid w:val="004D2BA5"/>
    <w:rsid w:val="004D2C63"/>
    <w:rsid w:val="004D303B"/>
    <w:rsid w:val="004D30BA"/>
    <w:rsid w:val="004D3249"/>
    <w:rsid w:val="004D327C"/>
    <w:rsid w:val="004D342C"/>
    <w:rsid w:val="004D3E69"/>
    <w:rsid w:val="004D3EFC"/>
    <w:rsid w:val="004D49FC"/>
    <w:rsid w:val="004D53DE"/>
    <w:rsid w:val="004D5D14"/>
    <w:rsid w:val="004D6593"/>
    <w:rsid w:val="004D65DF"/>
    <w:rsid w:val="004D66DE"/>
    <w:rsid w:val="004D6900"/>
    <w:rsid w:val="004D6F59"/>
    <w:rsid w:val="004D75F8"/>
    <w:rsid w:val="004D7891"/>
    <w:rsid w:val="004D78E6"/>
    <w:rsid w:val="004D798A"/>
    <w:rsid w:val="004D7CE7"/>
    <w:rsid w:val="004E0877"/>
    <w:rsid w:val="004E0A86"/>
    <w:rsid w:val="004E1556"/>
    <w:rsid w:val="004E1F16"/>
    <w:rsid w:val="004E2062"/>
    <w:rsid w:val="004E24B3"/>
    <w:rsid w:val="004E257B"/>
    <w:rsid w:val="004E332E"/>
    <w:rsid w:val="004E333B"/>
    <w:rsid w:val="004E3E74"/>
    <w:rsid w:val="004E45C1"/>
    <w:rsid w:val="004E499C"/>
    <w:rsid w:val="004E50B1"/>
    <w:rsid w:val="004E51FA"/>
    <w:rsid w:val="004E55DD"/>
    <w:rsid w:val="004E66E3"/>
    <w:rsid w:val="004E738A"/>
    <w:rsid w:val="004E77BA"/>
    <w:rsid w:val="004E7F50"/>
    <w:rsid w:val="004F084A"/>
    <w:rsid w:val="004F159A"/>
    <w:rsid w:val="004F1741"/>
    <w:rsid w:val="004F2143"/>
    <w:rsid w:val="004F2199"/>
    <w:rsid w:val="004F26EF"/>
    <w:rsid w:val="004F31D8"/>
    <w:rsid w:val="004F346F"/>
    <w:rsid w:val="004F3C96"/>
    <w:rsid w:val="004F3F81"/>
    <w:rsid w:val="004F414C"/>
    <w:rsid w:val="004F456A"/>
    <w:rsid w:val="004F4FED"/>
    <w:rsid w:val="004F50C9"/>
    <w:rsid w:val="004F568F"/>
    <w:rsid w:val="004F58A0"/>
    <w:rsid w:val="004F5FAB"/>
    <w:rsid w:val="004F600A"/>
    <w:rsid w:val="004F6606"/>
    <w:rsid w:val="004F68B8"/>
    <w:rsid w:val="004F6A57"/>
    <w:rsid w:val="004F6C09"/>
    <w:rsid w:val="004F75FD"/>
    <w:rsid w:val="004F7C2E"/>
    <w:rsid w:val="004F7D97"/>
    <w:rsid w:val="0050047E"/>
    <w:rsid w:val="005007A8"/>
    <w:rsid w:val="005013FC"/>
    <w:rsid w:val="00501469"/>
    <w:rsid w:val="00501520"/>
    <w:rsid w:val="0050153D"/>
    <w:rsid w:val="005018F1"/>
    <w:rsid w:val="00501A83"/>
    <w:rsid w:val="00501B61"/>
    <w:rsid w:val="00501BFE"/>
    <w:rsid w:val="00501C5A"/>
    <w:rsid w:val="00501FF1"/>
    <w:rsid w:val="00502059"/>
    <w:rsid w:val="005027E6"/>
    <w:rsid w:val="00502895"/>
    <w:rsid w:val="00502A3E"/>
    <w:rsid w:val="005034CA"/>
    <w:rsid w:val="00503505"/>
    <w:rsid w:val="00503C3F"/>
    <w:rsid w:val="00503DB1"/>
    <w:rsid w:val="00503EB5"/>
    <w:rsid w:val="005040DF"/>
    <w:rsid w:val="00504239"/>
    <w:rsid w:val="005042C3"/>
    <w:rsid w:val="00504676"/>
    <w:rsid w:val="0050538D"/>
    <w:rsid w:val="005056E7"/>
    <w:rsid w:val="00505B1B"/>
    <w:rsid w:val="00505D08"/>
    <w:rsid w:val="00506696"/>
    <w:rsid w:val="00506926"/>
    <w:rsid w:val="00506C7C"/>
    <w:rsid w:val="00507955"/>
    <w:rsid w:val="00507F0F"/>
    <w:rsid w:val="0051017E"/>
    <w:rsid w:val="005103AB"/>
    <w:rsid w:val="005103AD"/>
    <w:rsid w:val="00510419"/>
    <w:rsid w:val="005104DA"/>
    <w:rsid w:val="00511545"/>
    <w:rsid w:val="00511780"/>
    <w:rsid w:val="00511870"/>
    <w:rsid w:val="00511BA5"/>
    <w:rsid w:val="005124A7"/>
    <w:rsid w:val="0051254C"/>
    <w:rsid w:val="005129DB"/>
    <w:rsid w:val="00512A18"/>
    <w:rsid w:val="00512D6A"/>
    <w:rsid w:val="0051333F"/>
    <w:rsid w:val="00513576"/>
    <w:rsid w:val="00513D27"/>
    <w:rsid w:val="00513D6F"/>
    <w:rsid w:val="0051408E"/>
    <w:rsid w:val="00515670"/>
    <w:rsid w:val="00515F64"/>
    <w:rsid w:val="0051676B"/>
    <w:rsid w:val="0051692C"/>
    <w:rsid w:val="00516A5E"/>
    <w:rsid w:val="00516B93"/>
    <w:rsid w:val="00516BBC"/>
    <w:rsid w:val="00516E8F"/>
    <w:rsid w:val="005171EE"/>
    <w:rsid w:val="00517B6A"/>
    <w:rsid w:val="00517BA4"/>
    <w:rsid w:val="00517FA7"/>
    <w:rsid w:val="0052089B"/>
    <w:rsid w:val="00520C52"/>
    <w:rsid w:val="00520DD4"/>
    <w:rsid w:val="00520ED9"/>
    <w:rsid w:val="005210D1"/>
    <w:rsid w:val="005216DF"/>
    <w:rsid w:val="0052206A"/>
    <w:rsid w:val="005228B9"/>
    <w:rsid w:val="005229E2"/>
    <w:rsid w:val="00522C7F"/>
    <w:rsid w:val="00522D5F"/>
    <w:rsid w:val="005230C0"/>
    <w:rsid w:val="005237C1"/>
    <w:rsid w:val="005239E2"/>
    <w:rsid w:val="00523B8A"/>
    <w:rsid w:val="00523D39"/>
    <w:rsid w:val="00523DBD"/>
    <w:rsid w:val="00523E01"/>
    <w:rsid w:val="00523FB0"/>
    <w:rsid w:val="0052450D"/>
    <w:rsid w:val="005249D3"/>
    <w:rsid w:val="00524A28"/>
    <w:rsid w:val="00524D03"/>
    <w:rsid w:val="005251DD"/>
    <w:rsid w:val="00525514"/>
    <w:rsid w:val="00525710"/>
    <w:rsid w:val="00525722"/>
    <w:rsid w:val="00525A32"/>
    <w:rsid w:val="00525D81"/>
    <w:rsid w:val="00526480"/>
    <w:rsid w:val="0052666A"/>
    <w:rsid w:val="00526AFC"/>
    <w:rsid w:val="00526BAE"/>
    <w:rsid w:val="00526D61"/>
    <w:rsid w:val="00526E20"/>
    <w:rsid w:val="00526E47"/>
    <w:rsid w:val="00527D90"/>
    <w:rsid w:val="005305F6"/>
    <w:rsid w:val="00530EB7"/>
    <w:rsid w:val="00531084"/>
    <w:rsid w:val="005315E3"/>
    <w:rsid w:val="00531696"/>
    <w:rsid w:val="00531B4D"/>
    <w:rsid w:val="00531B70"/>
    <w:rsid w:val="00531C98"/>
    <w:rsid w:val="005322C3"/>
    <w:rsid w:val="00532511"/>
    <w:rsid w:val="0053265C"/>
    <w:rsid w:val="005327A0"/>
    <w:rsid w:val="0053286E"/>
    <w:rsid w:val="0053292C"/>
    <w:rsid w:val="00532978"/>
    <w:rsid w:val="00532D23"/>
    <w:rsid w:val="00532F4E"/>
    <w:rsid w:val="00533D43"/>
    <w:rsid w:val="00533E0B"/>
    <w:rsid w:val="005344B7"/>
    <w:rsid w:val="00534801"/>
    <w:rsid w:val="005349C0"/>
    <w:rsid w:val="005352CA"/>
    <w:rsid w:val="005354A6"/>
    <w:rsid w:val="0053570F"/>
    <w:rsid w:val="00535958"/>
    <w:rsid w:val="00535B51"/>
    <w:rsid w:val="00535CFF"/>
    <w:rsid w:val="00536A6C"/>
    <w:rsid w:val="00536CE8"/>
    <w:rsid w:val="00536D60"/>
    <w:rsid w:val="0053735E"/>
    <w:rsid w:val="005375BD"/>
    <w:rsid w:val="00537614"/>
    <w:rsid w:val="00537A0D"/>
    <w:rsid w:val="0054021A"/>
    <w:rsid w:val="00540450"/>
    <w:rsid w:val="00540DF8"/>
    <w:rsid w:val="00541687"/>
    <w:rsid w:val="00541E15"/>
    <w:rsid w:val="005422E2"/>
    <w:rsid w:val="00542D36"/>
    <w:rsid w:val="00542FCE"/>
    <w:rsid w:val="00543818"/>
    <w:rsid w:val="00543AEA"/>
    <w:rsid w:val="00543CF1"/>
    <w:rsid w:val="0054401E"/>
    <w:rsid w:val="00544488"/>
    <w:rsid w:val="0054599D"/>
    <w:rsid w:val="00545AA2"/>
    <w:rsid w:val="0054620D"/>
    <w:rsid w:val="0054626B"/>
    <w:rsid w:val="00546389"/>
    <w:rsid w:val="005463F9"/>
    <w:rsid w:val="00546806"/>
    <w:rsid w:val="0054683B"/>
    <w:rsid w:val="00546CFF"/>
    <w:rsid w:val="0054729C"/>
    <w:rsid w:val="00547DF5"/>
    <w:rsid w:val="0055035E"/>
    <w:rsid w:val="005509A2"/>
    <w:rsid w:val="00550BF6"/>
    <w:rsid w:val="00550F64"/>
    <w:rsid w:val="00551908"/>
    <w:rsid w:val="0055198D"/>
    <w:rsid w:val="00552088"/>
    <w:rsid w:val="00552103"/>
    <w:rsid w:val="00552690"/>
    <w:rsid w:val="0055273F"/>
    <w:rsid w:val="00553189"/>
    <w:rsid w:val="00553327"/>
    <w:rsid w:val="005533AF"/>
    <w:rsid w:val="00553628"/>
    <w:rsid w:val="00553A96"/>
    <w:rsid w:val="00553B32"/>
    <w:rsid w:val="00553C92"/>
    <w:rsid w:val="00554A45"/>
    <w:rsid w:val="00554B9E"/>
    <w:rsid w:val="00554D3F"/>
    <w:rsid w:val="00554DB3"/>
    <w:rsid w:val="0055501B"/>
    <w:rsid w:val="005553D2"/>
    <w:rsid w:val="00555BFC"/>
    <w:rsid w:val="00555EEF"/>
    <w:rsid w:val="0055602A"/>
    <w:rsid w:val="0055632A"/>
    <w:rsid w:val="00556345"/>
    <w:rsid w:val="00556A68"/>
    <w:rsid w:val="00556CF4"/>
    <w:rsid w:val="005573C8"/>
    <w:rsid w:val="0055787A"/>
    <w:rsid w:val="005578D6"/>
    <w:rsid w:val="00557971"/>
    <w:rsid w:val="00557CB5"/>
    <w:rsid w:val="005603C9"/>
    <w:rsid w:val="0056073F"/>
    <w:rsid w:val="005607ED"/>
    <w:rsid w:val="00560E18"/>
    <w:rsid w:val="005610D2"/>
    <w:rsid w:val="005613DB"/>
    <w:rsid w:val="00561542"/>
    <w:rsid w:val="00561A70"/>
    <w:rsid w:val="00561FCC"/>
    <w:rsid w:val="00562132"/>
    <w:rsid w:val="00562175"/>
    <w:rsid w:val="005622FB"/>
    <w:rsid w:val="00562311"/>
    <w:rsid w:val="00562363"/>
    <w:rsid w:val="0056261D"/>
    <w:rsid w:val="0056291D"/>
    <w:rsid w:val="00562A15"/>
    <w:rsid w:val="00562B42"/>
    <w:rsid w:val="00562FAE"/>
    <w:rsid w:val="00563182"/>
    <w:rsid w:val="00563C30"/>
    <w:rsid w:val="00563CAD"/>
    <w:rsid w:val="00565A7D"/>
    <w:rsid w:val="00565F04"/>
    <w:rsid w:val="00566592"/>
    <w:rsid w:val="005671F4"/>
    <w:rsid w:val="00567291"/>
    <w:rsid w:val="00567580"/>
    <w:rsid w:val="005675D8"/>
    <w:rsid w:val="005676E6"/>
    <w:rsid w:val="0056774B"/>
    <w:rsid w:val="0056789B"/>
    <w:rsid w:val="005702A0"/>
    <w:rsid w:val="005703CC"/>
    <w:rsid w:val="00570B94"/>
    <w:rsid w:val="005715CE"/>
    <w:rsid w:val="0057172F"/>
    <w:rsid w:val="00571BDC"/>
    <w:rsid w:val="00571D01"/>
    <w:rsid w:val="0057278C"/>
    <w:rsid w:val="00572B42"/>
    <w:rsid w:val="00572E5E"/>
    <w:rsid w:val="005731A1"/>
    <w:rsid w:val="0057341E"/>
    <w:rsid w:val="00573469"/>
    <w:rsid w:val="00574965"/>
    <w:rsid w:val="00574B91"/>
    <w:rsid w:val="0057532E"/>
    <w:rsid w:val="00575D85"/>
    <w:rsid w:val="0057616C"/>
    <w:rsid w:val="00576A90"/>
    <w:rsid w:val="00576B03"/>
    <w:rsid w:val="00576C5E"/>
    <w:rsid w:val="00576F09"/>
    <w:rsid w:val="00577978"/>
    <w:rsid w:val="00577E57"/>
    <w:rsid w:val="00577EB0"/>
    <w:rsid w:val="00577EE5"/>
    <w:rsid w:val="00577F71"/>
    <w:rsid w:val="005802B1"/>
    <w:rsid w:val="0058078C"/>
    <w:rsid w:val="00581174"/>
    <w:rsid w:val="005811CD"/>
    <w:rsid w:val="00581A19"/>
    <w:rsid w:val="00581C9E"/>
    <w:rsid w:val="00581F01"/>
    <w:rsid w:val="0058203A"/>
    <w:rsid w:val="0058237B"/>
    <w:rsid w:val="005832EA"/>
    <w:rsid w:val="0058390F"/>
    <w:rsid w:val="005846FD"/>
    <w:rsid w:val="005860DC"/>
    <w:rsid w:val="00586474"/>
    <w:rsid w:val="00586505"/>
    <w:rsid w:val="005868C9"/>
    <w:rsid w:val="00586AD6"/>
    <w:rsid w:val="00586E17"/>
    <w:rsid w:val="005906CF"/>
    <w:rsid w:val="0059073B"/>
    <w:rsid w:val="00591032"/>
    <w:rsid w:val="0059159D"/>
    <w:rsid w:val="00591E3D"/>
    <w:rsid w:val="00591EE9"/>
    <w:rsid w:val="0059228D"/>
    <w:rsid w:val="005923BC"/>
    <w:rsid w:val="0059336B"/>
    <w:rsid w:val="00593D1B"/>
    <w:rsid w:val="0059432A"/>
    <w:rsid w:val="00594349"/>
    <w:rsid w:val="0059471C"/>
    <w:rsid w:val="00594DE1"/>
    <w:rsid w:val="00594F56"/>
    <w:rsid w:val="00595136"/>
    <w:rsid w:val="00595558"/>
    <w:rsid w:val="0059565C"/>
    <w:rsid w:val="00596166"/>
    <w:rsid w:val="005963EC"/>
    <w:rsid w:val="00596542"/>
    <w:rsid w:val="00596726"/>
    <w:rsid w:val="0059689C"/>
    <w:rsid w:val="00596B2D"/>
    <w:rsid w:val="005977C8"/>
    <w:rsid w:val="0059787A"/>
    <w:rsid w:val="00597A2A"/>
    <w:rsid w:val="00597E0A"/>
    <w:rsid w:val="00597F65"/>
    <w:rsid w:val="005A00B8"/>
    <w:rsid w:val="005A09FE"/>
    <w:rsid w:val="005A20F9"/>
    <w:rsid w:val="005A24A4"/>
    <w:rsid w:val="005A284B"/>
    <w:rsid w:val="005A2E8E"/>
    <w:rsid w:val="005A2EB2"/>
    <w:rsid w:val="005A32C6"/>
    <w:rsid w:val="005A3500"/>
    <w:rsid w:val="005A3848"/>
    <w:rsid w:val="005A3AD7"/>
    <w:rsid w:val="005A3FCC"/>
    <w:rsid w:val="005A469B"/>
    <w:rsid w:val="005A4B3F"/>
    <w:rsid w:val="005A4BDC"/>
    <w:rsid w:val="005A4CA0"/>
    <w:rsid w:val="005A4E68"/>
    <w:rsid w:val="005A4F8C"/>
    <w:rsid w:val="005A5081"/>
    <w:rsid w:val="005A55EE"/>
    <w:rsid w:val="005A591E"/>
    <w:rsid w:val="005A62CD"/>
    <w:rsid w:val="005A672B"/>
    <w:rsid w:val="005A6A8B"/>
    <w:rsid w:val="005A6C27"/>
    <w:rsid w:val="005A6CE7"/>
    <w:rsid w:val="005A6F23"/>
    <w:rsid w:val="005A6FF8"/>
    <w:rsid w:val="005A7246"/>
    <w:rsid w:val="005A73D1"/>
    <w:rsid w:val="005A765D"/>
    <w:rsid w:val="005A7963"/>
    <w:rsid w:val="005A7B17"/>
    <w:rsid w:val="005A7CCD"/>
    <w:rsid w:val="005A7DC8"/>
    <w:rsid w:val="005B00FB"/>
    <w:rsid w:val="005B0207"/>
    <w:rsid w:val="005B061C"/>
    <w:rsid w:val="005B075F"/>
    <w:rsid w:val="005B0BAB"/>
    <w:rsid w:val="005B1256"/>
    <w:rsid w:val="005B20E9"/>
    <w:rsid w:val="005B23A3"/>
    <w:rsid w:val="005B24C3"/>
    <w:rsid w:val="005B2645"/>
    <w:rsid w:val="005B28CE"/>
    <w:rsid w:val="005B2C8B"/>
    <w:rsid w:val="005B2E1A"/>
    <w:rsid w:val="005B2E22"/>
    <w:rsid w:val="005B2EED"/>
    <w:rsid w:val="005B2F91"/>
    <w:rsid w:val="005B3881"/>
    <w:rsid w:val="005B38C2"/>
    <w:rsid w:val="005B3998"/>
    <w:rsid w:val="005B3BFF"/>
    <w:rsid w:val="005B43B5"/>
    <w:rsid w:val="005B4579"/>
    <w:rsid w:val="005B485A"/>
    <w:rsid w:val="005B4894"/>
    <w:rsid w:val="005B4C48"/>
    <w:rsid w:val="005B50F7"/>
    <w:rsid w:val="005B53A4"/>
    <w:rsid w:val="005B5515"/>
    <w:rsid w:val="005B563C"/>
    <w:rsid w:val="005B58E6"/>
    <w:rsid w:val="005B594B"/>
    <w:rsid w:val="005B5B1B"/>
    <w:rsid w:val="005B5C1A"/>
    <w:rsid w:val="005B5DA5"/>
    <w:rsid w:val="005B5F1A"/>
    <w:rsid w:val="005B5FE0"/>
    <w:rsid w:val="005B642D"/>
    <w:rsid w:val="005B6671"/>
    <w:rsid w:val="005B6F76"/>
    <w:rsid w:val="005B79C5"/>
    <w:rsid w:val="005B7A66"/>
    <w:rsid w:val="005B7C13"/>
    <w:rsid w:val="005B7F11"/>
    <w:rsid w:val="005C0BC8"/>
    <w:rsid w:val="005C0D14"/>
    <w:rsid w:val="005C0E27"/>
    <w:rsid w:val="005C0E79"/>
    <w:rsid w:val="005C1311"/>
    <w:rsid w:val="005C1610"/>
    <w:rsid w:val="005C1A38"/>
    <w:rsid w:val="005C1CCE"/>
    <w:rsid w:val="005C2165"/>
    <w:rsid w:val="005C223D"/>
    <w:rsid w:val="005C239F"/>
    <w:rsid w:val="005C27EC"/>
    <w:rsid w:val="005C28F3"/>
    <w:rsid w:val="005C2A8D"/>
    <w:rsid w:val="005C2F89"/>
    <w:rsid w:val="005C3126"/>
    <w:rsid w:val="005C3A0D"/>
    <w:rsid w:val="005C41DA"/>
    <w:rsid w:val="005C432A"/>
    <w:rsid w:val="005C43AC"/>
    <w:rsid w:val="005C4865"/>
    <w:rsid w:val="005C503E"/>
    <w:rsid w:val="005C5087"/>
    <w:rsid w:val="005C564A"/>
    <w:rsid w:val="005C56A3"/>
    <w:rsid w:val="005C5CBA"/>
    <w:rsid w:val="005C600B"/>
    <w:rsid w:val="005C661A"/>
    <w:rsid w:val="005C66E7"/>
    <w:rsid w:val="005C6AE4"/>
    <w:rsid w:val="005C6B32"/>
    <w:rsid w:val="005C6CCD"/>
    <w:rsid w:val="005C6E43"/>
    <w:rsid w:val="005C7564"/>
    <w:rsid w:val="005C7F09"/>
    <w:rsid w:val="005D0D74"/>
    <w:rsid w:val="005D0F28"/>
    <w:rsid w:val="005D16DD"/>
    <w:rsid w:val="005D189B"/>
    <w:rsid w:val="005D200B"/>
    <w:rsid w:val="005D277B"/>
    <w:rsid w:val="005D2F0D"/>
    <w:rsid w:val="005D31A7"/>
    <w:rsid w:val="005D325B"/>
    <w:rsid w:val="005D34BF"/>
    <w:rsid w:val="005D3749"/>
    <w:rsid w:val="005D3B0C"/>
    <w:rsid w:val="005D3D6B"/>
    <w:rsid w:val="005D3E5E"/>
    <w:rsid w:val="005D4C32"/>
    <w:rsid w:val="005D4EC8"/>
    <w:rsid w:val="005D4FA4"/>
    <w:rsid w:val="005D5C5C"/>
    <w:rsid w:val="005D5CEE"/>
    <w:rsid w:val="005D611B"/>
    <w:rsid w:val="005D6149"/>
    <w:rsid w:val="005D66A7"/>
    <w:rsid w:val="005D7055"/>
    <w:rsid w:val="005D73D6"/>
    <w:rsid w:val="005D7516"/>
    <w:rsid w:val="005D76DC"/>
    <w:rsid w:val="005D7DDB"/>
    <w:rsid w:val="005E0671"/>
    <w:rsid w:val="005E0CAA"/>
    <w:rsid w:val="005E0D6C"/>
    <w:rsid w:val="005E10EE"/>
    <w:rsid w:val="005E12D4"/>
    <w:rsid w:val="005E12DF"/>
    <w:rsid w:val="005E183B"/>
    <w:rsid w:val="005E1A2E"/>
    <w:rsid w:val="005E1AAD"/>
    <w:rsid w:val="005E1CC0"/>
    <w:rsid w:val="005E1F76"/>
    <w:rsid w:val="005E21B6"/>
    <w:rsid w:val="005E2B9C"/>
    <w:rsid w:val="005E2D40"/>
    <w:rsid w:val="005E2F73"/>
    <w:rsid w:val="005E3B19"/>
    <w:rsid w:val="005E3CB8"/>
    <w:rsid w:val="005E440A"/>
    <w:rsid w:val="005E44F9"/>
    <w:rsid w:val="005E4649"/>
    <w:rsid w:val="005E468E"/>
    <w:rsid w:val="005E47B6"/>
    <w:rsid w:val="005E480C"/>
    <w:rsid w:val="005E531E"/>
    <w:rsid w:val="005E53FF"/>
    <w:rsid w:val="005E5ABB"/>
    <w:rsid w:val="005E5D3A"/>
    <w:rsid w:val="005E6825"/>
    <w:rsid w:val="005E6859"/>
    <w:rsid w:val="005E6B55"/>
    <w:rsid w:val="005E6F34"/>
    <w:rsid w:val="005E6F81"/>
    <w:rsid w:val="005E7116"/>
    <w:rsid w:val="005E7E74"/>
    <w:rsid w:val="005F06FD"/>
    <w:rsid w:val="005F0774"/>
    <w:rsid w:val="005F172A"/>
    <w:rsid w:val="005F1F58"/>
    <w:rsid w:val="005F2097"/>
    <w:rsid w:val="005F2362"/>
    <w:rsid w:val="005F2898"/>
    <w:rsid w:val="005F2ABB"/>
    <w:rsid w:val="005F2CA8"/>
    <w:rsid w:val="005F2FD1"/>
    <w:rsid w:val="005F3224"/>
    <w:rsid w:val="005F330D"/>
    <w:rsid w:val="005F3C71"/>
    <w:rsid w:val="005F3CDF"/>
    <w:rsid w:val="005F4999"/>
    <w:rsid w:val="005F4E80"/>
    <w:rsid w:val="005F505F"/>
    <w:rsid w:val="005F51D7"/>
    <w:rsid w:val="005F540F"/>
    <w:rsid w:val="005F5CD3"/>
    <w:rsid w:val="005F62CD"/>
    <w:rsid w:val="005F643F"/>
    <w:rsid w:val="005F6CCA"/>
    <w:rsid w:val="005F7D8B"/>
    <w:rsid w:val="00600025"/>
    <w:rsid w:val="0060049C"/>
    <w:rsid w:val="006004A9"/>
    <w:rsid w:val="00600581"/>
    <w:rsid w:val="006006F8"/>
    <w:rsid w:val="00600883"/>
    <w:rsid w:val="00600BEB"/>
    <w:rsid w:val="00601263"/>
    <w:rsid w:val="00601514"/>
    <w:rsid w:val="00601517"/>
    <w:rsid w:val="0060174C"/>
    <w:rsid w:val="006019A0"/>
    <w:rsid w:val="006022E2"/>
    <w:rsid w:val="006024BC"/>
    <w:rsid w:val="006024E5"/>
    <w:rsid w:val="0060389B"/>
    <w:rsid w:val="006038AF"/>
    <w:rsid w:val="00603A16"/>
    <w:rsid w:val="0060436B"/>
    <w:rsid w:val="00604444"/>
    <w:rsid w:val="006049B8"/>
    <w:rsid w:val="00604BD7"/>
    <w:rsid w:val="00604E0D"/>
    <w:rsid w:val="00604E5F"/>
    <w:rsid w:val="006052DC"/>
    <w:rsid w:val="0060531E"/>
    <w:rsid w:val="006053EA"/>
    <w:rsid w:val="00605B4D"/>
    <w:rsid w:val="00606545"/>
    <w:rsid w:val="006066E6"/>
    <w:rsid w:val="0060695E"/>
    <w:rsid w:val="00606AEE"/>
    <w:rsid w:val="00606F5E"/>
    <w:rsid w:val="006079F0"/>
    <w:rsid w:val="00607B62"/>
    <w:rsid w:val="0061031C"/>
    <w:rsid w:val="0061089A"/>
    <w:rsid w:val="00610A05"/>
    <w:rsid w:val="00610F65"/>
    <w:rsid w:val="006113EB"/>
    <w:rsid w:val="00611D1F"/>
    <w:rsid w:val="006129B0"/>
    <w:rsid w:val="0061364C"/>
    <w:rsid w:val="00613C57"/>
    <w:rsid w:val="00613D9D"/>
    <w:rsid w:val="00614129"/>
    <w:rsid w:val="006143D4"/>
    <w:rsid w:val="0061445C"/>
    <w:rsid w:val="00614594"/>
    <w:rsid w:val="006147EB"/>
    <w:rsid w:val="0061487D"/>
    <w:rsid w:val="00615835"/>
    <w:rsid w:val="00615A5C"/>
    <w:rsid w:val="00615E7D"/>
    <w:rsid w:val="00615F37"/>
    <w:rsid w:val="006163BE"/>
    <w:rsid w:val="006164DD"/>
    <w:rsid w:val="00616986"/>
    <w:rsid w:val="0061702F"/>
    <w:rsid w:val="00617306"/>
    <w:rsid w:val="00617807"/>
    <w:rsid w:val="006178AE"/>
    <w:rsid w:val="00617AD4"/>
    <w:rsid w:val="00617AF7"/>
    <w:rsid w:val="00617C75"/>
    <w:rsid w:val="00617CB3"/>
    <w:rsid w:val="00617D9E"/>
    <w:rsid w:val="00621734"/>
    <w:rsid w:val="00621C98"/>
    <w:rsid w:val="00621E68"/>
    <w:rsid w:val="00622262"/>
    <w:rsid w:val="0062264C"/>
    <w:rsid w:val="00622899"/>
    <w:rsid w:val="00622E2C"/>
    <w:rsid w:val="00622E5F"/>
    <w:rsid w:val="006232AD"/>
    <w:rsid w:val="006239C6"/>
    <w:rsid w:val="00623B50"/>
    <w:rsid w:val="00623D91"/>
    <w:rsid w:val="00624249"/>
    <w:rsid w:val="006247BC"/>
    <w:rsid w:val="006249E4"/>
    <w:rsid w:val="00624B14"/>
    <w:rsid w:val="00624EAF"/>
    <w:rsid w:val="0062539F"/>
    <w:rsid w:val="006257A6"/>
    <w:rsid w:val="00625A9F"/>
    <w:rsid w:val="00625B91"/>
    <w:rsid w:val="00625C3E"/>
    <w:rsid w:val="00625E4F"/>
    <w:rsid w:val="006261D6"/>
    <w:rsid w:val="00626435"/>
    <w:rsid w:val="006265BB"/>
    <w:rsid w:val="006265CA"/>
    <w:rsid w:val="00626EE7"/>
    <w:rsid w:val="0062709B"/>
    <w:rsid w:val="00627179"/>
    <w:rsid w:val="00627DE4"/>
    <w:rsid w:val="00627F1D"/>
    <w:rsid w:val="006300B4"/>
    <w:rsid w:val="0063018A"/>
    <w:rsid w:val="006302E8"/>
    <w:rsid w:val="00630348"/>
    <w:rsid w:val="0063077C"/>
    <w:rsid w:val="006307FD"/>
    <w:rsid w:val="0063085E"/>
    <w:rsid w:val="00630981"/>
    <w:rsid w:val="00630B48"/>
    <w:rsid w:val="00630F9D"/>
    <w:rsid w:val="00631125"/>
    <w:rsid w:val="006313F7"/>
    <w:rsid w:val="006314B5"/>
    <w:rsid w:val="00631C19"/>
    <w:rsid w:val="00631F1C"/>
    <w:rsid w:val="006320EE"/>
    <w:rsid w:val="00632595"/>
    <w:rsid w:val="00632A72"/>
    <w:rsid w:val="00633286"/>
    <w:rsid w:val="006333FE"/>
    <w:rsid w:val="00633492"/>
    <w:rsid w:val="006337A8"/>
    <w:rsid w:val="00633DB9"/>
    <w:rsid w:val="006340F2"/>
    <w:rsid w:val="0063446D"/>
    <w:rsid w:val="00634C7B"/>
    <w:rsid w:val="00634E9B"/>
    <w:rsid w:val="00634FE2"/>
    <w:rsid w:val="00635573"/>
    <w:rsid w:val="00635C6B"/>
    <w:rsid w:val="00635CCA"/>
    <w:rsid w:val="0063670B"/>
    <w:rsid w:val="0063771A"/>
    <w:rsid w:val="006379DB"/>
    <w:rsid w:val="00637E8D"/>
    <w:rsid w:val="006412CC"/>
    <w:rsid w:val="00641B2B"/>
    <w:rsid w:val="00641B2E"/>
    <w:rsid w:val="006421D5"/>
    <w:rsid w:val="0064279A"/>
    <w:rsid w:val="006430C4"/>
    <w:rsid w:val="006433EA"/>
    <w:rsid w:val="0064359A"/>
    <w:rsid w:val="0064378A"/>
    <w:rsid w:val="006439D1"/>
    <w:rsid w:val="00643B8F"/>
    <w:rsid w:val="00644484"/>
    <w:rsid w:val="006444C3"/>
    <w:rsid w:val="0064451E"/>
    <w:rsid w:val="006445EE"/>
    <w:rsid w:val="00644D3B"/>
    <w:rsid w:val="006450A4"/>
    <w:rsid w:val="006454DF"/>
    <w:rsid w:val="00645625"/>
    <w:rsid w:val="00645843"/>
    <w:rsid w:val="0064592F"/>
    <w:rsid w:val="00645AC7"/>
    <w:rsid w:val="00645AE7"/>
    <w:rsid w:val="00646387"/>
    <w:rsid w:val="00646E5F"/>
    <w:rsid w:val="00647273"/>
    <w:rsid w:val="00647730"/>
    <w:rsid w:val="006477C0"/>
    <w:rsid w:val="006478DC"/>
    <w:rsid w:val="00647B9C"/>
    <w:rsid w:val="006500C5"/>
    <w:rsid w:val="00650605"/>
    <w:rsid w:val="006509E4"/>
    <w:rsid w:val="0065145F"/>
    <w:rsid w:val="0065148D"/>
    <w:rsid w:val="006516BE"/>
    <w:rsid w:val="006519F1"/>
    <w:rsid w:val="00651EA8"/>
    <w:rsid w:val="0065237D"/>
    <w:rsid w:val="006523BA"/>
    <w:rsid w:val="00652403"/>
    <w:rsid w:val="006533AB"/>
    <w:rsid w:val="00653B0F"/>
    <w:rsid w:val="00653FC2"/>
    <w:rsid w:val="00654111"/>
    <w:rsid w:val="00654ED7"/>
    <w:rsid w:val="006550D1"/>
    <w:rsid w:val="00655C02"/>
    <w:rsid w:val="00655C28"/>
    <w:rsid w:val="0065612B"/>
    <w:rsid w:val="00656344"/>
    <w:rsid w:val="00656462"/>
    <w:rsid w:val="00656A16"/>
    <w:rsid w:val="00656A40"/>
    <w:rsid w:val="00656E6C"/>
    <w:rsid w:val="006570C3"/>
    <w:rsid w:val="006572C0"/>
    <w:rsid w:val="0065767E"/>
    <w:rsid w:val="00657BFC"/>
    <w:rsid w:val="00657C3E"/>
    <w:rsid w:val="006609F9"/>
    <w:rsid w:val="00660B0F"/>
    <w:rsid w:val="00661066"/>
    <w:rsid w:val="0066134F"/>
    <w:rsid w:val="0066186E"/>
    <w:rsid w:val="00661B65"/>
    <w:rsid w:val="00662A58"/>
    <w:rsid w:val="00662E1D"/>
    <w:rsid w:val="00663541"/>
    <w:rsid w:val="00663667"/>
    <w:rsid w:val="00663672"/>
    <w:rsid w:val="00663CA9"/>
    <w:rsid w:val="00663E28"/>
    <w:rsid w:val="00664485"/>
    <w:rsid w:val="00664683"/>
    <w:rsid w:val="006649E3"/>
    <w:rsid w:val="0066542A"/>
    <w:rsid w:val="00665EC9"/>
    <w:rsid w:val="00665F1E"/>
    <w:rsid w:val="006668A1"/>
    <w:rsid w:val="006672E7"/>
    <w:rsid w:val="00667700"/>
    <w:rsid w:val="00667AA9"/>
    <w:rsid w:val="00667C4C"/>
    <w:rsid w:val="00667D01"/>
    <w:rsid w:val="00670C0B"/>
    <w:rsid w:val="00671288"/>
    <w:rsid w:val="006718E6"/>
    <w:rsid w:val="00671A64"/>
    <w:rsid w:val="00671ACD"/>
    <w:rsid w:val="00671C1E"/>
    <w:rsid w:val="00671C1F"/>
    <w:rsid w:val="00672071"/>
    <w:rsid w:val="00672EBB"/>
    <w:rsid w:val="006730B4"/>
    <w:rsid w:val="006733F2"/>
    <w:rsid w:val="006736FD"/>
    <w:rsid w:val="006737FB"/>
    <w:rsid w:val="00673BE1"/>
    <w:rsid w:val="00673BE4"/>
    <w:rsid w:val="0067427F"/>
    <w:rsid w:val="00674DD0"/>
    <w:rsid w:val="00674F41"/>
    <w:rsid w:val="0067544F"/>
    <w:rsid w:val="0067581A"/>
    <w:rsid w:val="006766F5"/>
    <w:rsid w:val="00676923"/>
    <w:rsid w:val="00677600"/>
    <w:rsid w:val="00677CB9"/>
    <w:rsid w:val="00680524"/>
    <w:rsid w:val="00680620"/>
    <w:rsid w:val="006812C4"/>
    <w:rsid w:val="006815E2"/>
    <w:rsid w:val="00681A02"/>
    <w:rsid w:val="00681A50"/>
    <w:rsid w:val="00681B22"/>
    <w:rsid w:val="00682916"/>
    <w:rsid w:val="00682A4B"/>
    <w:rsid w:val="00682C69"/>
    <w:rsid w:val="00682DE9"/>
    <w:rsid w:val="00682FB1"/>
    <w:rsid w:val="00682FBD"/>
    <w:rsid w:val="006830B2"/>
    <w:rsid w:val="0068339C"/>
    <w:rsid w:val="006833C5"/>
    <w:rsid w:val="006834A3"/>
    <w:rsid w:val="006835CD"/>
    <w:rsid w:val="00683A10"/>
    <w:rsid w:val="00684D05"/>
    <w:rsid w:val="00685149"/>
    <w:rsid w:val="006854B6"/>
    <w:rsid w:val="006855E8"/>
    <w:rsid w:val="00685DEC"/>
    <w:rsid w:val="00685F9B"/>
    <w:rsid w:val="006860FD"/>
    <w:rsid w:val="006861A2"/>
    <w:rsid w:val="006861E8"/>
    <w:rsid w:val="006866E0"/>
    <w:rsid w:val="00686CBF"/>
    <w:rsid w:val="00687141"/>
    <w:rsid w:val="006872F2"/>
    <w:rsid w:val="0068733E"/>
    <w:rsid w:val="006901C5"/>
    <w:rsid w:val="0069020E"/>
    <w:rsid w:val="006904D4"/>
    <w:rsid w:val="006905A3"/>
    <w:rsid w:val="00690F54"/>
    <w:rsid w:val="00690F91"/>
    <w:rsid w:val="006913CA"/>
    <w:rsid w:val="00691A01"/>
    <w:rsid w:val="0069220E"/>
    <w:rsid w:val="0069229B"/>
    <w:rsid w:val="00692770"/>
    <w:rsid w:val="00692819"/>
    <w:rsid w:val="00692C86"/>
    <w:rsid w:val="00693045"/>
    <w:rsid w:val="00693598"/>
    <w:rsid w:val="00693B5C"/>
    <w:rsid w:val="00694AAD"/>
    <w:rsid w:val="006951F4"/>
    <w:rsid w:val="00695D3D"/>
    <w:rsid w:val="00695E86"/>
    <w:rsid w:val="00696115"/>
    <w:rsid w:val="0069678B"/>
    <w:rsid w:val="00696CC0"/>
    <w:rsid w:val="00696CEF"/>
    <w:rsid w:val="00696F9E"/>
    <w:rsid w:val="006976EE"/>
    <w:rsid w:val="00697CDF"/>
    <w:rsid w:val="00697DB0"/>
    <w:rsid w:val="006A0587"/>
    <w:rsid w:val="006A09D3"/>
    <w:rsid w:val="006A0BA4"/>
    <w:rsid w:val="006A0F5E"/>
    <w:rsid w:val="006A0FB1"/>
    <w:rsid w:val="006A0FB2"/>
    <w:rsid w:val="006A136F"/>
    <w:rsid w:val="006A151B"/>
    <w:rsid w:val="006A1571"/>
    <w:rsid w:val="006A15F0"/>
    <w:rsid w:val="006A1853"/>
    <w:rsid w:val="006A1D37"/>
    <w:rsid w:val="006A1F03"/>
    <w:rsid w:val="006A2478"/>
    <w:rsid w:val="006A2561"/>
    <w:rsid w:val="006A2692"/>
    <w:rsid w:val="006A274C"/>
    <w:rsid w:val="006A27D9"/>
    <w:rsid w:val="006A2D66"/>
    <w:rsid w:val="006A3196"/>
    <w:rsid w:val="006A3B3E"/>
    <w:rsid w:val="006A3DF2"/>
    <w:rsid w:val="006A4A7A"/>
    <w:rsid w:val="006A4E43"/>
    <w:rsid w:val="006A52CE"/>
    <w:rsid w:val="006A53EC"/>
    <w:rsid w:val="006A55E5"/>
    <w:rsid w:val="006A57AB"/>
    <w:rsid w:val="006A59CF"/>
    <w:rsid w:val="006A59E5"/>
    <w:rsid w:val="006A5B04"/>
    <w:rsid w:val="006A6B64"/>
    <w:rsid w:val="006A6DBD"/>
    <w:rsid w:val="006A6EA8"/>
    <w:rsid w:val="006A7AA8"/>
    <w:rsid w:val="006A7B4E"/>
    <w:rsid w:val="006A7B59"/>
    <w:rsid w:val="006A7D62"/>
    <w:rsid w:val="006A7E40"/>
    <w:rsid w:val="006B0574"/>
    <w:rsid w:val="006B0B24"/>
    <w:rsid w:val="006B14B6"/>
    <w:rsid w:val="006B15D6"/>
    <w:rsid w:val="006B1B46"/>
    <w:rsid w:val="006B1B8F"/>
    <w:rsid w:val="006B1C22"/>
    <w:rsid w:val="006B31BD"/>
    <w:rsid w:val="006B3516"/>
    <w:rsid w:val="006B400B"/>
    <w:rsid w:val="006B43B9"/>
    <w:rsid w:val="006B4482"/>
    <w:rsid w:val="006B48D7"/>
    <w:rsid w:val="006B49C3"/>
    <w:rsid w:val="006B4E1A"/>
    <w:rsid w:val="006B4F7B"/>
    <w:rsid w:val="006B5A02"/>
    <w:rsid w:val="006B62C7"/>
    <w:rsid w:val="006B6CC1"/>
    <w:rsid w:val="006B6FAD"/>
    <w:rsid w:val="006B700B"/>
    <w:rsid w:val="006B70DF"/>
    <w:rsid w:val="006B7A15"/>
    <w:rsid w:val="006B7C3B"/>
    <w:rsid w:val="006B7FB9"/>
    <w:rsid w:val="006C0190"/>
    <w:rsid w:val="006C0752"/>
    <w:rsid w:val="006C09FE"/>
    <w:rsid w:val="006C0F24"/>
    <w:rsid w:val="006C1881"/>
    <w:rsid w:val="006C1CB1"/>
    <w:rsid w:val="006C2579"/>
    <w:rsid w:val="006C265F"/>
    <w:rsid w:val="006C26E5"/>
    <w:rsid w:val="006C2A96"/>
    <w:rsid w:val="006C335B"/>
    <w:rsid w:val="006C335F"/>
    <w:rsid w:val="006C3685"/>
    <w:rsid w:val="006C3D91"/>
    <w:rsid w:val="006C3FEB"/>
    <w:rsid w:val="006C452F"/>
    <w:rsid w:val="006C4D3C"/>
    <w:rsid w:val="006C4E4D"/>
    <w:rsid w:val="006C52A9"/>
    <w:rsid w:val="006C5B34"/>
    <w:rsid w:val="006C5C1D"/>
    <w:rsid w:val="006C5ED5"/>
    <w:rsid w:val="006C63DB"/>
    <w:rsid w:val="006C66E2"/>
    <w:rsid w:val="006C6E77"/>
    <w:rsid w:val="006C6E95"/>
    <w:rsid w:val="006C7156"/>
    <w:rsid w:val="006C793F"/>
    <w:rsid w:val="006C7CB7"/>
    <w:rsid w:val="006C7D31"/>
    <w:rsid w:val="006C7F3B"/>
    <w:rsid w:val="006D006D"/>
    <w:rsid w:val="006D0565"/>
    <w:rsid w:val="006D0727"/>
    <w:rsid w:val="006D0AA8"/>
    <w:rsid w:val="006D0FB3"/>
    <w:rsid w:val="006D110D"/>
    <w:rsid w:val="006D111F"/>
    <w:rsid w:val="006D11BE"/>
    <w:rsid w:val="006D19CD"/>
    <w:rsid w:val="006D20E5"/>
    <w:rsid w:val="006D2A8F"/>
    <w:rsid w:val="006D3003"/>
    <w:rsid w:val="006D304F"/>
    <w:rsid w:val="006D338D"/>
    <w:rsid w:val="006D3DE4"/>
    <w:rsid w:val="006D42B1"/>
    <w:rsid w:val="006D4CD8"/>
    <w:rsid w:val="006D4E5B"/>
    <w:rsid w:val="006D4F78"/>
    <w:rsid w:val="006D520C"/>
    <w:rsid w:val="006D521E"/>
    <w:rsid w:val="006D540C"/>
    <w:rsid w:val="006D5A3E"/>
    <w:rsid w:val="006D5E4E"/>
    <w:rsid w:val="006D6012"/>
    <w:rsid w:val="006D63BF"/>
    <w:rsid w:val="006D6476"/>
    <w:rsid w:val="006D666E"/>
    <w:rsid w:val="006D6BFD"/>
    <w:rsid w:val="006D72E7"/>
    <w:rsid w:val="006D7462"/>
    <w:rsid w:val="006D74F3"/>
    <w:rsid w:val="006D79EE"/>
    <w:rsid w:val="006D7C2B"/>
    <w:rsid w:val="006E0059"/>
    <w:rsid w:val="006E04C8"/>
    <w:rsid w:val="006E0C53"/>
    <w:rsid w:val="006E0EB2"/>
    <w:rsid w:val="006E107D"/>
    <w:rsid w:val="006E15B6"/>
    <w:rsid w:val="006E16AD"/>
    <w:rsid w:val="006E1A3D"/>
    <w:rsid w:val="006E1F14"/>
    <w:rsid w:val="006E21B4"/>
    <w:rsid w:val="006E2DB4"/>
    <w:rsid w:val="006E308D"/>
    <w:rsid w:val="006E34FF"/>
    <w:rsid w:val="006E39C3"/>
    <w:rsid w:val="006E3B1C"/>
    <w:rsid w:val="006E4A01"/>
    <w:rsid w:val="006E4A4C"/>
    <w:rsid w:val="006E4AFC"/>
    <w:rsid w:val="006E56BA"/>
    <w:rsid w:val="006E5730"/>
    <w:rsid w:val="006E57FF"/>
    <w:rsid w:val="006E5A75"/>
    <w:rsid w:val="006E5F12"/>
    <w:rsid w:val="006F0A07"/>
    <w:rsid w:val="006F1B28"/>
    <w:rsid w:val="006F2A94"/>
    <w:rsid w:val="006F3757"/>
    <w:rsid w:val="006F3D28"/>
    <w:rsid w:val="006F4305"/>
    <w:rsid w:val="006F48E0"/>
    <w:rsid w:val="006F4EAC"/>
    <w:rsid w:val="006F5677"/>
    <w:rsid w:val="006F602B"/>
    <w:rsid w:val="006F6326"/>
    <w:rsid w:val="006F6670"/>
    <w:rsid w:val="006F730C"/>
    <w:rsid w:val="006F7525"/>
    <w:rsid w:val="006F76F5"/>
    <w:rsid w:val="006F7D70"/>
    <w:rsid w:val="006F7F22"/>
    <w:rsid w:val="007009E5"/>
    <w:rsid w:val="00700CD3"/>
    <w:rsid w:val="00700E4C"/>
    <w:rsid w:val="007011BD"/>
    <w:rsid w:val="0070126E"/>
    <w:rsid w:val="0070141D"/>
    <w:rsid w:val="007020E4"/>
    <w:rsid w:val="00702894"/>
    <w:rsid w:val="00702C6A"/>
    <w:rsid w:val="00702CEC"/>
    <w:rsid w:val="00702E04"/>
    <w:rsid w:val="00702F6D"/>
    <w:rsid w:val="007030CA"/>
    <w:rsid w:val="00703744"/>
    <w:rsid w:val="0070381D"/>
    <w:rsid w:val="0070397C"/>
    <w:rsid w:val="00703DF4"/>
    <w:rsid w:val="007049DF"/>
    <w:rsid w:val="00704B98"/>
    <w:rsid w:val="00704C4E"/>
    <w:rsid w:val="00704D42"/>
    <w:rsid w:val="0070534B"/>
    <w:rsid w:val="00705357"/>
    <w:rsid w:val="00705470"/>
    <w:rsid w:val="0070589A"/>
    <w:rsid w:val="00705EBA"/>
    <w:rsid w:val="00706309"/>
    <w:rsid w:val="00706603"/>
    <w:rsid w:val="00706977"/>
    <w:rsid w:val="00706DE3"/>
    <w:rsid w:val="00706DEA"/>
    <w:rsid w:val="0070746F"/>
    <w:rsid w:val="00707520"/>
    <w:rsid w:val="00707931"/>
    <w:rsid w:val="007100CB"/>
    <w:rsid w:val="00710370"/>
    <w:rsid w:val="00710A83"/>
    <w:rsid w:val="00710AC1"/>
    <w:rsid w:val="00711274"/>
    <w:rsid w:val="0071130C"/>
    <w:rsid w:val="00711612"/>
    <w:rsid w:val="007118AF"/>
    <w:rsid w:val="00711AB4"/>
    <w:rsid w:val="00711B6B"/>
    <w:rsid w:val="00712032"/>
    <w:rsid w:val="007120C3"/>
    <w:rsid w:val="0071250B"/>
    <w:rsid w:val="007127F4"/>
    <w:rsid w:val="00712BED"/>
    <w:rsid w:val="00712F4B"/>
    <w:rsid w:val="007136B6"/>
    <w:rsid w:val="007137EC"/>
    <w:rsid w:val="00713958"/>
    <w:rsid w:val="00713E1C"/>
    <w:rsid w:val="00713F00"/>
    <w:rsid w:val="0071434B"/>
    <w:rsid w:val="007147F7"/>
    <w:rsid w:val="00714B49"/>
    <w:rsid w:val="00714C75"/>
    <w:rsid w:val="00714CA8"/>
    <w:rsid w:val="00714E3E"/>
    <w:rsid w:val="007150AF"/>
    <w:rsid w:val="00715C71"/>
    <w:rsid w:val="007162E3"/>
    <w:rsid w:val="007163A2"/>
    <w:rsid w:val="0071640A"/>
    <w:rsid w:val="007165F6"/>
    <w:rsid w:val="00716ACC"/>
    <w:rsid w:val="007171A2"/>
    <w:rsid w:val="00717299"/>
    <w:rsid w:val="00717307"/>
    <w:rsid w:val="0071756C"/>
    <w:rsid w:val="007175D4"/>
    <w:rsid w:val="00717998"/>
    <w:rsid w:val="00717CDB"/>
    <w:rsid w:val="00717D1C"/>
    <w:rsid w:val="0072047F"/>
    <w:rsid w:val="0072099E"/>
    <w:rsid w:val="00720CD6"/>
    <w:rsid w:val="0072120C"/>
    <w:rsid w:val="007212B4"/>
    <w:rsid w:val="00721435"/>
    <w:rsid w:val="00722976"/>
    <w:rsid w:val="00722B1B"/>
    <w:rsid w:val="00722B32"/>
    <w:rsid w:val="00722FC3"/>
    <w:rsid w:val="00723116"/>
    <w:rsid w:val="00723DB9"/>
    <w:rsid w:val="00723EFB"/>
    <w:rsid w:val="0072404D"/>
    <w:rsid w:val="007240F0"/>
    <w:rsid w:val="00724AEB"/>
    <w:rsid w:val="00724D01"/>
    <w:rsid w:val="0072502D"/>
    <w:rsid w:val="00725457"/>
    <w:rsid w:val="00725527"/>
    <w:rsid w:val="007257C7"/>
    <w:rsid w:val="00725E7E"/>
    <w:rsid w:val="00726CEA"/>
    <w:rsid w:val="00730318"/>
    <w:rsid w:val="007306DE"/>
    <w:rsid w:val="00730C81"/>
    <w:rsid w:val="00730CF1"/>
    <w:rsid w:val="0073187B"/>
    <w:rsid w:val="00731C76"/>
    <w:rsid w:val="00731E7C"/>
    <w:rsid w:val="00732D55"/>
    <w:rsid w:val="00732E88"/>
    <w:rsid w:val="00732F05"/>
    <w:rsid w:val="0073306F"/>
    <w:rsid w:val="00733115"/>
    <w:rsid w:val="00733502"/>
    <w:rsid w:val="007336EE"/>
    <w:rsid w:val="00733736"/>
    <w:rsid w:val="0073374D"/>
    <w:rsid w:val="00733980"/>
    <w:rsid w:val="00733CBB"/>
    <w:rsid w:val="00734542"/>
    <w:rsid w:val="0073479C"/>
    <w:rsid w:val="00734D5A"/>
    <w:rsid w:val="00734FC8"/>
    <w:rsid w:val="00735227"/>
    <w:rsid w:val="00735391"/>
    <w:rsid w:val="00735677"/>
    <w:rsid w:val="00735719"/>
    <w:rsid w:val="007357BD"/>
    <w:rsid w:val="00735834"/>
    <w:rsid w:val="00735CD9"/>
    <w:rsid w:val="00735ED5"/>
    <w:rsid w:val="00735F6C"/>
    <w:rsid w:val="0073600E"/>
    <w:rsid w:val="00736064"/>
    <w:rsid w:val="00736137"/>
    <w:rsid w:val="007362B0"/>
    <w:rsid w:val="007365D5"/>
    <w:rsid w:val="00736C27"/>
    <w:rsid w:val="00736D0C"/>
    <w:rsid w:val="00736DEC"/>
    <w:rsid w:val="00736E56"/>
    <w:rsid w:val="0073717A"/>
    <w:rsid w:val="00737F24"/>
    <w:rsid w:val="007404CD"/>
    <w:rsid w:val="00740B96"/>
    <w:rsid w:val="00741BBB"/>
    <w:rsid w:val="00741D5A"/>
    <w:rsid w:val="00741DFB"/>
    <w:rsid w:val="00741FA8"/>
    <w:rsid w:val="007423DD"/>
    <w:rsid w:val="007426F4"/>
    <w:rsid w:val="00742B1E"/>
    <w:rsid w:val="00742D53"/>
    <w:rsid w:val="00742EAF"/>
    <w:rsid w:val="00743360"/>
    <w:rsid w:val="007433E9"/>
    <w:rsid w:val="00744EFC"/>
    <w:rsid w:val="007453DC"/>
    <w:rsid w:val="0074542D"/>
    <w:rsid w:val="00745530"/>
    <w:rsid w:val="007458B8"/>
    <w:rsid w:val="00745B7F"/>
    <w:rsid w:val="00745E29"/>
    <w:rsid w:val="007461AD"/>
    <w:rsid w:val="007466BB"/>
    <w:rsid w:val="007467FA"/>
    <w:rsid w:val="00746E8E"/>
    <w:rsid w:val="007471A7"/>
    <w:rsid w:val="007476D9"/>
    <w:rsid w:val="007477F1"/>
    <w:rsid w:val="007477F3"/>
    <w:rsid w:val="00747D60"/>
    <w:rsid w:val="00750024"/>
    <w:rsid w:val="0075078C"/>
    <w:rsid w:val="00750809"/>
    <w:rsid w:val="0075121E"/>
    <w:rsid w:val="0075152C"/>
    <w:rsid w:val="00751D9A"/>
    <w:rsid w:val="007525B3"/>
    <w:rsid w:val="00752DE5"/>
    <w:rsid w:val="00753B56"/>
    <w:rsid w:val="00753CCB"/>
    <w:rsid w:val="00753FCC"/>
    <w:rsid w:val="00753FF9"/>
    <w:rsid w:val="007540A6"/>
    <w:rsid w:val="007546D6"/>
    <w:rsid w:val="0075494B"/>
    <w:rsid w:val="00754BF7"/>
    <w:rsid w:val="00754E7F"/>
    <w:rsid w:val="00754FA1"/>
    <w:rsid w:val="0075557F"/>
    <w:rsid w:val="00755AB2"/>
    <w:rsid w:val="00756A2D"/>
    <w:rsid w:val="0075714A"/>
    <w:rsid w:val="007571BC"/>
    <w:rsid w:val="00757DDB"/>
    <w:rsid w:val="00760168"/>
    <w:rsid w:val="00761D28"/>
    <w:rsid w:val="007623BB"/>
    <w:rsid w:val="007627E6"/>
    <w:rsid w:val="00762CCC"/>
    <w:rsid w:val="00763034"/>
    <w:rsid w:val="0076346C"/>
    <w:rsid w:val="007634BC"/>
    <w:rsid w:val="00763806"/>
    <w:rsid w:val="00763D67"/>
    <w:rsid w:val="00765763"/>
    <w:rsid w:val="0076598D"/>
    <w:rsid w:val="00765B3F"/>
    <w:rsid w:val="00765C9B"/>
    <w:rsid w:val="00765DED"/>
    <w:rsid w:val="00766953"/>
    <w:rsid w:val="00766961"/>
    <w:rsid w:val="00767985"/>
    <w:rsid w:val="00767E9C"/>
    <w:rsid w:val="00770A44"/>
    <w:rsid w:val="00771180"/>
    <w:rsid w:val="0077163B"/>
    <w:rsid w:val="0077192F"/>
    <w:rsid w:val="00771A05"/>
    <w:rsid w:val="00771BEE"/>
    <w:rsid w:val="00771C16"/>
    <w:rsid w:val="00771CAF"/>
    <w:rsid w:val="00771F07"/>
    <w:rsid w:val="0077219D"/>
    <w:rsid w:val="00772593"/>
    <w:rsid w:val="00772B65"/>
    <w:rsid w:val="00772B7D"/>
    <w:rsid w:val="00772D35"/>
    <w:rsid w:val="007734B5"/>
    <w:rsid w:val="007739D5"/>
    <w:rsid w:val="007741EE"/>
    <w:rsid w:val="00774485"/>
    <w:rsid w:val="007749A4"/>
    <w:rsid w:val="00774A5D"/>
    <w:rsid w:val="00774B3A"/>
    <w:rsid w:val="00775194"/>
    <w:rsid w:val="00775E32"/>
    <w:rsid w:val="00776A9A"/>
    <w:rsid w:val="00776AA6"/>
    <w:rsid w:val="007774BC"/>
    <w:rsid w:val="00780463"/>
    <w:rsid w:val="00780705"/>
    <w:rsid w:val="00781159"/>
    <w:rsid w:val="00781E1B"/>
    <w:rsid w:val="0078252C"/>
    <w:rsid w:val="00782C8B"/>
    <w:rsid w:val="00782E66"/>
    <w:rsid w:val="00783361"/>
    <w:rsid w:val="007835A9"/>
    <w:rsid w:val="007837B7"/>
    <w:rsid w:val="00783D0D"/>
    <w:rsid w:val="0078435A"/>
    <w:rsid w:val="00784362"/>
    <w:rsid w:val="00784953"/>
    <w:rsid w:val="00784973"/>
    <w:rsid w:val="00784B0F"/>
    <w:rsid w:val="00785308"/>
    <w:rsid w:val="007861C0"/>
    <w:rsid w:val="0078648C"/>
    <w:rsid w:val="00786B0B"/>
    <w:rsid w:val="00786C1B"/>
    <w:rsid w:val="007907AF"/>
    <w:rsid w:val="007908BE"/>
    <w:rsid w:val="00790C8E"/>
    <w:rsid w:val="00790E19"/>
    <w:rsid w:val="00790E84"/>
    <w:rsid w:val="007914F2"/>
    <w:rsid w:val="0079152B"/>
    <w:rsid w:val="00791807"/>
    <w:rsid w:val="00792603"/>
    <w:rsid w:val="00792632"/>
    <w:rsid w:val="00792A1D"/>
    <w:rsid w:val="00792DB4"/>
    <w:rsid w:val="0079340B"/>
    <w:rsid w:val="00793693"/>
    <w:rsid w:val="00793DDC"/>
    <w:rsid w:val="00794385"/>
    <w:rsid w:val="0079440C"/>
    <w:rsid w:val="007947A3"/>
    <w:rsid w:val="00794CDB"/>
    <w:rsid w:val="00794E6C"/>
    <w:rsid w:val="00794E8D"/>
    <w:rsid w:val="00794F3A"/>
    <w:rsid w:val="00795C88"/>
    <w:rsid w:val="00795D3E"/>
    <w:rsid w:val="00795F97"/>
    <w:rsid w:val="0079642A"/>
    <w:rsid w:val="0079645A"/>
    <w:rsid w:val="00796571"/>
    <w:rsid w:val="00796A50"/>
    <w:rsid w:val="00797033"/>
    <w:rsid w:val="007970D3"/>
    <w:rsid w:val="007972D2"/>
    <w:rsid w:val="007A02EE"/>
    <w:rsid w:val="007A08D5"/>
    <w:rsid w:val="007A0A14"/>
    <w:rsid w:val="007A0D8E"/>
    <w:rsid w:val="007A0DDF"/>
    <w:rsid w:val="007A0E1A"/>
    <w:rsid w:val="007A0FC3"/>
    <w:rsid w:val="007A11C5"/>
    <w:rsid w:val="007A17C1"/>
    <w:rsid w:val="007A185C"/>
    <w:rsid w:val="007A1912"/>
    <w:rsid w:val="007A1BA1"/>
    <w:rsid w:val="007A1F3B"/>
    <w:rsid w:val="007A1F83"/>
    <w:rsid w:val="007A21B6"/>
    <w:rsid w:val="007A247D"/>
    <w:rsid w:val="007A2F76"/>
    <w:rsid w:val="007A3800"/>
    <w:rsid w:val="007A3BA8"/>
    <w:rsid w:val="007A4033"/>
    <w:rsid w:val="007A45BB"/>
    <w:rsid w:val="007A49A4"/>
    <w:rsid w:val="007A4B3D"/>
    <w:rsid w:val="007A4F3E"/>
    <w:rsid w:val="007A50B0"/>
    <w:rsid w:val="007A54D8"/>
    <w:rsid w:val="007A5E43"/>
    <w:rsid w:val="007A621E"/>
    <w:rsid w:val="007A71F0"/>
    <w:rsid w:val="007A7348"/>
    <w:rsid w:val="007A797E"/>
    <w:rsid w:val="007B0021"/>
    <w:rsid w:val="007B0135"/>
    <w:rsid w:val="007B03A3"/>
    <w:rsid w:val="007B079B"/>
    <w:rsid w:val="007B0805"/>
    <w:rsid w:val="007B0A6E"/>
    <w:rsid w:val="007B0BFB"/>
    <w:rsid w:val="007B0E3A"/>
    <w:rsid w:val="007B0F50"/>
    <w:rsid w:val="007B1368"/>
    <w:rsid w:val="007B136D"/>
    <w:rsid w:val="007B2307"/>
    <w:rsid w:val="007B2484"/>
    <w:rsid w:val="007B2499"/>
    <w:rsid w:val="007B4021"/>
    <w:rsid w:val="007B4407"/>
    <w:rsid w:val="007B4A47"/>
    <w:rsid w:val="007B56CC"/>
    <w:rsid w:val="007B5971"/>
    <w:rsid w:val="007B5E0B"/>
    <w:rsid w:val="007B5F10"/>
    <w:rsid w:val="007B65A4"/>
    <w:rsid w:val="007B6706"/>
    <w:rsid w:val="007B68B1"/>
    <w:rsid w:val="007B724D"/>
    <w:rsid w:val="007B757D"/>
    <w:rsid w:val="007B7AEC"/>
    <w:rsid w:val="007C0147"/>
    <w:rsid w:val="007C0E8C"/>
    <w:rsid w:val="007C1676"/>
    <w:rsid w:val="007C1717"/>
    <w:rsid w:val="007C1DE3"/>
    <w:rsid w:val="007C280D"/>
    <w:rsid w:val="007C2E8A"/>
    <w:rsid w:val="007C2F09"/>
    <w:rsid w:val="007C30A4"/>
    <w:rsid w:val="007C30FB"/>
    <w:rsid w:val="007C3418"/>
    <w:rsid w:val="007C35F6"/>
    <w:rsid w:val="007C3BB5"/>
    <w:rsid w:val="007C3DB6"/>
    <w:rsid w:val="007C3ED5"/>
    <w:rsid w:val="007C4086"/>
    <w:rsid w:val="007C481D"/>
    <w:rsid w:val="007C51A7"/>
    <w:rsid w:val="007C564E"/>
    <w:rsid w:val="007C569E"/>
    <w:rsid w:val="007C594B"/>
    <w:rsid w:val="007C596B"/>
    <w:rsid w:val="007C5E02"/>
    <w:rsid w:val="007C5ECE"/>
    <w:rsid w:val="007C7263"/>
    <w:rsid w:val="007C72D4"/>
    <w:rsid w:val="007C7540"/>
    <w:rsid w:val="007C7731"/>
    <w:rsid w:val="007C784A"/>
    <w:rsid w:val="007C79EF"/>
    <w:rsid w:val="007C7AC4"/>
    <w:rsid w:val="007C7F01"/>
    <w:rsid w:val="007D01E6"/>
    <w:rsid w:val="007D03D9"/>
    <w:rsid w:val="007D09DE"/>
    <w:rsid w:val="007D16EE"/>
    <w:rsid w:val="007D1F76"/>
    <w:rsid w:val="007D225A"/>
    <w:rsid w:val="007D25AD"/>
    <w:rsid w:val="007D26CE"/>
    <w:rsid w:val="007D2943"/>
    <w:rsid w:val="007D2CA4"/>
    <w:rsid w:val="007D2CCE"/>
    <w:rsid w:val="007D2D0A"/>
    <w:rsid w:val="007D3713"/>
    <w:rsid w:val="007D40C5"/>
    <w:rsid w:val="007D42E6"/>
    <w:rsid w:val="007D4471"/>
    <w:rsid w:val="007D491E"/>
    <w:rsid w:val="007D4AB7"/>
    <w:rsid w:val="007D4BAB"/>
    <w:rsid w:val="007D4BF1"/>
    <w:rsid w:val="007D5688"/>
    <w:rsid w:val="007D580B"/>
    <w:rsid w:val="007D5ED8"/>
    <w:rsid w:val="007D6481"/>
    <w:rsid w:val="007D6EC1"/>
    <w:rsid w:val="007D7292"/>
    <w:rsid w:val="007D74DB"/>
    <w:rsid w:val="007D7500"/>
    <w:rsid w:val="007D7A6F"/>
    <w:rsid w:val="007E0088"/>
    <w:rsid w:val="007E04A8"/>
    <w:rsid w:val="007E0C61"/>
    <w:rsid w:val="007E0D1A"/>
    <w:rsid w:val="007E1222"/>
    <w:rsid w:val="007E15C0"/>
    <w:rsid w:val="007E175F"/>
    <w:rsid w:val="007E1B2E"/>
    <w:rsid w:val="007E1BAF"/>
    <w:rsid w:val="007E2491"/>
    <w:rsid w:val="007E2659"/>
    <w:rsid w:val="007E2C7D"/>
    <w:rsid w:val="007E2D0B"/>
    <w:rsid w:val="007E3001"/>
    <w:rsid w:val="007E34FB"/>
    <w:rsid w:val="007E3823"/>
    <w:rsid w:val="007E3C63"/>
    <w:rsid w:val="007E3F7A"/>
    <w:rsid w:val="007E43E9"/>
    <w:rsid w:val="007E4A56"/>
    <w:rsid w:val="007E5133"/>
    <w:rsid w:val="007E518F"/>
    <w:rsid w:val="007E529A"/>
    <w:rsid w:val="007E5F54"/>
    <w:rsid w:val="007E67B7"/>
    <w:rsid w:val="007E6AAD"/>
    <w:rsid w:val="007E6C43"/>
    <w:rsid w:val="007E71D1"/>
    <w:rsid w:val="007E7D4C"/>
    <w:rsid w:val="007E7EFA"/>
    <w:rsid w:val="007E7FE2"/>
    <w:rsid w:val="007F0008"/>
    <w:rsid w:val="007F0205"/>
    <w:rsid w:val="007F02DA"/>
    <w:rsid w:val="007F08F6"/>
    <w:rsid w:val="007F0DB3"/>
    <w:rsid w:val="007F0E01"/>
    <w:rsid w:val="007F0EA9"/>
    <w:rsid w:val="007F100B"/>
    <w:rsid w:val="007F1317"/>
    <w:rsid w:val="007F1378"/>
    <w:rsid w:val="007F1D3A"/>
    <w:rsid w:val="007F205B"/>
    <w:rsid w:val="007F2078"/>
    <w:rsid w:val="007F239F"/>
    <w:rsid w:val="007F268F"/>
    <w:rsid w:val="007F282F"/>
    <w:rsid w:val="007F320A"/>
    <w:rsid w:val="007F3284"/>
    <w:rsid w:val="007F34A1"/>
    <w:rsid w:val="007F3D53"/>
    <w:rsid w:val="007F4279"/>
    <w:rsid w:val="007F4465"/>
    <w:rsid w:val="007F4D66"/>
    <w:rsid w:val="007F561F"/>
    <w:rsid w:val="007F563C"/>
    <w:rsid w:val="007F6B19"/>
    <w:rsid w:val="007F701F"/>
    <w:rsid w:val="007F722C"/>
    <w:rsid w:val="007F72CD"/>
    <w:rsid w:val="007F7398"/>
    <w:rsid w:val="007F7F7B"/>
    <w:rsid w:val="00800008"/>
    <w:rsid w:val="008003A2"/>
    <w:rsid w:val="008004BC"/>
    <w:rsid w:val="0080059D"/>
    <w:rsid w:val="008005F8"/>
    <w:rsid w:val="00800AF9"/>
    <w:rsid w:val="00800E9B"/>
    <w:rsid w:val="0080266A"/>
    <w:rsid w:val="0080298A"/>
    <w:rsid w:val="00802B1C"/>
    <w:rsid w:val="00802B31"/>
    <w:rsid w:val="00802EA0"/>
    <w:rsid w:val="00803E26"/>
    <w:rsid w:val="00805D7D"/>
    <w:rsid w:val="008060FF"/>
    <w:rsid w:val="008061CC"/>
    <w:rsid w:val="008065B4"/>
    <w:rsid w:val="00806BCE"/>
    <w:rsid w:val="00806D50"/>
    <w:rsid w:val="00806D79"/>
    <w:rsid w:val="00806DDB"/>
    <w:rsid w:val="0080702F"/>
    <w:rsid w:val="008071B2"/>
    <w:rsid w:val="0080725C"/>
    <w:rsid w:val="00807DA1"/>
    <w:rsid w:val="00810239"/>
    <w:rsid w:val="00810250"/>
    <w:rsid w:val="00810295"/>
    <w:rsid w:val="00810343"/>
    <w:rsid w:val="008103A4"/>
    <w:rsid w:val="0081059D"/>
    <w:rsid w:val="00810CB9"/>
    <w:rsid w:val="00811205"/>
    <w:rsid w:val="008114B4"/>
    <w:rsid w:val="00811521"/>
    <w:rsid w:val="0081165A"/>
    <w:rsid w:val="00812956"/>
    <w:rsid w:val="00812B7A"/>
    <w:rsid w:val="00813867"/>
    <w:rsid w:val="0081438E"/>
    <w:rsid w:val="00814A11"/>
    <w:rsid w:val="00814A62"/>
    <w:rsid w:val="00814A7C"/>
    <w:rsid w:val="00814C4D"/>
    <w:rsid w:val="00814C66"/>
    <w:rsid w:val="00814D2C"/>
    <w:rsid w:val="008154EE"/>
    <w:rsid w:val="0081552A"/>
    <w:rsid w:val="0081567D"/>
    <w:rsid w:val="008156ED"/>
    <w:rsid w:val="00815AC1"/>
    <w:rsid w:val="00815C54"/>
    <w:rsid w:val="0081607F"/>
    <w:rsid w:val="0081630A"/>
    <w:rsid w:val="008165F3"/>
    <w:rsid w:val="00816DEB"/>
    <w:rsid w:val="00816EEA"/>
    <w:rsid w:val="00816F31"/>
    <w:rsid w:val="008173B9"/>
    <w:rsid w:val="008173D1"/>
    <w:rsid w:val="00817676"/>
    <w:rsid w:val="008176CC"/>
    <w:rsid w:val="008178CE"/>
    <w:rsid w:val="008179E3"/>
    <w:rsid w:val="00817ACF"/>
    <w:rsid w:val="00817C3D"/>
    <w:rsid w:val="0082002F"/>
    <w:rsid w:val="00820259"/>
    <w:rsid w:val="00820308"/>
    <w:rsid w:val="0082032A"/>
    <w:rsid w:val="00820443"/>
    <w:rsid w:val="00820556"/>
    <w:rsid w:val="0082088C"/>
    <w:rsid w:val="00820905"/>
    <w:rsid w:val="0082099D"/>
    <w:rsid w:val="00820DF1"/>
    <w:rsid w:val="00821150"/>
    <w:rsid w:val="00821362"/>
    <w:rsid w:val="008214E0"/>
    <w:rsid w:val="00821547"/>
    <w:rsid w:val="00821F4E"/>
    <w:rsid w:val="00821FF2"/>
    <w:rsid w:val="0082267E"/>
    <w:rsid w:val="00822AF6"/>
    <w:rsid w:val="0082309C"/>
    <w:rsid w:val="00823448"/>
    <w:rsid w:val="00823EDB"/>
    <w:rsid w:val="00824562"/>
    <w:rsid w:val="00824FB2"/>
    <w:rsid w:val="008251B5"/>
    <w:rsid w:val="00825532"/>
    <w:rsid w:val="008261B6"/>
    <w:rsid w:val="00826291"/>
    <w:rsid w:val="00826427"/>
    <w:rsid w:val="00826580"/>
    <w:rsid w:val="00826AE0"/>
    <w:rsid w:val="00826BE2"/>
    <w:rsid w:val="00826DA2"/>
    <w:rsid w:val="00827702"/>
    <w:rsid w:val="00827750"/>
    <w:rsid w:val="00827F14"/>
    <w:rsid w:val="00830A55"/>
    <w:rsid w:val="00830AA6"/>
    <w:rsid w:val="00830E47"/>
    <w:rsid w:val="0083101B"/>
    <w:rsid w:val="0083121A"/>
    <w:rsid w:val="00831605"/>
    <w:rsid w:val="00831AFA"/>
    <w:rsid w:val="00831FB7"/>
    <w:rsid w:val="0083200B"/>
    <w:rsid w:val="008324DA"/>
    <w:rsid w:val="00832C97"/>
    <w:rsid w:val="00833C56"/>
    <w:rsid w:val="00835484"/>
    <w:rsid w:val="008363C9"/>
    <w:rsid w:val="008366A2"/>
    <w:rsid w:val="00836879"/>
    <w:rsid w:val="00836FEC"/>
    <w:rsid w:val="00837B7E"/>
    <w:rsid w:val="00837C84"/>
    <w:rsid w:val="00840620"/>
    <w:rsid w:val="008407EC"/>
    <w:rsid w:val="0084089B"/>
    <w:rsid w:val="008408AB"/>
    <w:rsid w:val="00841146"/>
    <w:rsid w:val="00841541"/>
    <w:rsid w:val="00841561"/>
    <w:rsid w:val="00841925"/>
    <w:rsid w:val="0084198C"/>
    <w:rsid w:val="00841ACC"/>
    <w:rsid w:val="00841B7C"/>
    <w:rsid w:val="00841DEC"/>
    <w:rsid w:val="0084222B"/>
    <w:rsid w:val="008424DC"/>
    <w:rsid w:val="008424EF"/>
    <w:rsid w:val="008428FB"/>
    <w:rsid w:val="00842CC7"/>
    <w:rsid w:val="00843002"/>
    <w:rsid w:val="0084339C"/>
    <w:rsid w:val="008437B5"/>
    <w:rsid w:val="00844466"/>
    <w:rsid w:val="0084498E"/>
    <w:rsid w:val="00844C68"/>
    <w:rsid w:val="008450BC"/>
    <w:rsid w:val="008455E4"/>
    <w:rsid w:val="00845814"/>
    <w:rsid w:val="008459E5"/>
    <w:rsid w:val="0084603C"/>
    <w:rsid w:val="008465FE"/>
    <w:rsid w:val="00846ED0"/>
    <w:rsid w:val="00846F47"/>
    <w:rsid w:val="0084715F"/>
    <w:rsid w:val="008475D3"/>
    <w:rsid w:val="00850253"/>
    <w:rsid w:val="008514EC"/>
    <w:rsid w:val="00851572"/>
    <w:rsid w:val="00851CF4"/>
    <w:rsid w:val="00851D29"/>
    <w:rsid w:val="0085214D"/>
    <w:rsid w:val="00852386"/>
    <w:rsid w:val="00852BF1"/>
    <w:rsid w:val="00852EFF"/>
    <w:rsid w:val="00852FAE"/>
    <w:rsid w:val="0085338A"/>
    <w:rsid w:val="0085357D"/>
    <w:rsid w:val="00853740"/>
    <w:rsid w:val="00853C03"/>
    <w:rsid w:val="00853FE3"/>
    <w:rsid w:val="008541C3"/>
    <w:rsid w:val="00854619"/>
    <w:rsid w:val="00854782"/>
    <w:rsid w:val="00854C2C"/>
    <w:rsid w:val="00854C9D"/>
    <w:rsid w:val="008550D3"/>
    <w:rsid w:val="00855213"/>
    <w:rsid w:val="008558E4"/>
    <w:rsid w:val="00855A83"/>
    <w:rsid w:val="00855C88"/>
    <w:rsid w:val="0085612A"/>
    <w:rsid w:val="008561BA"/>
    <w:rsid w:val="00856459"/>
    <w:rsid w:val="00856B8B"/>
    <w:rsid w:val="00856CFB"/>
    <w:rsid w:val="00856FBC"/>
    <w:rsid w:val="00857174"/>
    <w:rsid w:val="00857721"/>
    <w:rsid w:val="00857A0A"/>
    <w:rsid w:val="00857C0D"/>
    <w:rsid w:val="00857EEF"/>
    <w:rsid w:val="00860587"/>
    <w:rsid w:val="00860AB3"/>
    <w:rsid w:val="00860FB1"/>
    <w:rsid w:val="00861027"/>
    <w:rsid w:val="0086145D"/>
    <w:rsid w:val="008618D0"/>
    <w:rsid w:val="00861CC5"/>
    <w:rsid w:val="00862550"/>
    <w:rsid w:val="008625F7"/>
    <w:rsid w:val="00862E61"/>
    <w:rsid w:val="008636C7"/>
    <w:rsid w:val="00863E35"/>
    <w:rsid w:val="00864132"/>
    <w:rsid w:val="00864AEB"/>
    <w:rsid w:val="00864FAF"/>
    <w:rsid w:val="00865233"/>
    <w:rsid w:val="008659E8"/>
    <w:rsid w:val="00865B1C"/>
    <w:rsid w:val="008661BE"/>
    <w:rsid w:val="008665F8"/>
    <w:rsid w:val="0086660A"/>
    <w:rsid w:val="0086660F"/>
    <w:rsid w:val="008673BC"/>
    <w:rsid w:val="00867A5D"/>
    <w:rsid w:val="00867AD0"/>
    <w:rsid w:val="00867F01"/>
    <w:rsid w:val="00870180"/>
    <w:rsid w:val="00870568"/>
    <w:rsid w:val="00870E7C"/>
    <w:rsid w:val="00872004"/>
    <w:rsid w:val="008720F3"/>
    <w:rsid w:val="00872FB3"/>
    <w:rsid w:val="00872FEE"/>
    <w:rsid w:val="00873E42"/>
    <w:rsid w:val="00874592"/>
    <w:rsid w:val="0087474A"/>
    <w:rsid w:val="008749BC"/>
    <w:rsid w:val="00874A51"/>
    <w:rsid w:val="00874B6B"/>
    <w:rsid w:val="00874EFA"/>
    <w:rsid w:val="008759A3"/>
    <w:rsid w:val="00875A11"/>
    <w:rsid w:val="00875ABD"/>
    <w:rsid w:val="00876027"/>
    <w:rsid w:val="008760D8"/>
    <w:rsid w:val="008761B2"/>
    <w:rsid w:val="008764AB"/>
    <w:rsid w:val="008764EC"/>
    <w:rsid w:val="00877184"/>
    <w:rsid w:val="00877506"/>
    <w:rsid w:val="008775DF"/>
    <w:rsid w:val="00877634"/>
    <w:rsid w:val="00877D9B"/>
    <w:rsid w:val="00877E5D"/>
    <w:rsid w:val="00877E87"/>
    <w:rsid w:val="00877FAC"/>
    <w:rsid w:val="0088037A"/>
    <w:rsid w:val="00880391"/>
    <w:rsid w:val="008803FF"/>
    <w:rsid w:val="008807BA"/>
    <w:rsid w:val="008808C0"/>
    <w:rsid w:val="00880B99"/>
    <w:rsid w:val="008817B5"/>
    <w:rsid w:val="00881E1C"/>
    <w:rsid w:val="008821CD"/>
    <w:rsid w:val="008826FE"/>
    <w:rsid w:val="00882B8E"/>
    <w:rsid w:val="00882C6D"/>
    <w:rsid w:val="00882D30"/>
    <w:rsid w:val="008830FC"/>
    <w:rsid w:val="008832CB"/>
    <w:rsid w:val="00883433"/>
    <w:rsid w:val="00883E7C"/>
    <w:rsid w:val="00884AA7"/>
    <w:rsid w:val="00884C22"/>
    <w:rsid w:val="00884DAD"/>
    <w:rsid w:val="00885011"/>
    <w:rsid w:val="00885150"/>
    <w:rsid w:val="00885900"/>
    <w:rsid w:val="00886093"/>
    <w:rsid w:val="0088643C"/>
    <w:rsid w:val="00886771"/>
    <w:rsid w:val="00886793"/>
    <w:rsid w:val="00886D18"/>
    <w:rsid w:val="00887861"/>
    <w:rsid w:val="00890D82"/>
    <w:rsid w:val="0089124E"/>
    <w:rsid w:val="00891D47"/>
    <w:rsid w:val="00891F0A"/>
    <w:rsid w:val="0089200C"/>
    <w:rsid w:val="00892752"/>
    <w:rsid w:val="00892B86"/>
    <w:rsid w:val="00892EED"/>
    <w:rsid w:val="00893063"/>
    <w:rsid w:val="0089319B"/>
    <w:rsid w:val="0089323B"/>
    <w:rsid w:val="00893422"/>
    <w:rsid w:val="00893513"/>
    <w:rsid w:val="00894057"/>
    <w:rsid w:val="00894108"/>
    <w:rsid w:val="008948C7"/>
    <w:rsid w:val="00894A5D"/>
    <w:rsid w:val="00894CD6"/>
    <w:rsid w:val="00894E45"/>
    <w:rsid w:val="00894F87"/>
    <w:rsid w:val="00895434"/>
    <w:rsid w:val="00895B80"/>
    <w:rsid w:val="00896B7F"/>
    <w:rsid w:val="00897568"/>
    <w:rsid w:val="008977A5"/>
    <w:rsid w:val="008A0A90"/>
    <w:rsid w:val="008A0CC4"/>
    <w:rsid w:val="008A0D2D"/>
    <w:rsid w:val="008A189A"/>
    <w:rsid w:val="008A189F"/>
    <w:rsid w:val="008A1A9D"/>
    <w:rsid w:val="008A1D68"/>
    <w:rsid w:val="008A1EDF"/>
    <w:rsid w:val="008A209F"/>
    <w:rsid w:val="008A211B"/>
    <w:rsid w:val="008A231E"/>
    <w:rsid w:val="008A23EC"/>
    <w:rsid w:val="008A243C"/>
    <w:rsid w:val="008A26C0"/>
    <w:rsid w:val="008A2DD4"/>
    <w:rsid w:val="008A2E25"/>
    <w:rsid w:val="008A30DE"/>
    <w:rsid w:val="008A359B"/>
    <w:rsid w:val="008A3A90"/>
    <w:rsid w:val="008A443D"/>
    <w:rsid w:val="008A46A9"/>
    <w:rsid w:val="008A4779"/>
    <w:rsid w:val="008A4823"/>
    <w:rsid w:val="008A4BD3"/>
    <w:rsid w:val="008A4FEF"/>
    <w:rsid w:val="008A5030"/>
    <w:rsid w:val="008A5707"/>
    <w:rsid w:val="008A5910"/>
    <w:rsid w:val="008A5AFB"/>
    <w:rsid w:val="008A629A"/>
    <w:rsid w:val="008A654B"/>
    <w:rsid w:val="008A6B1C"/>
    <w:rsid w:val="008A6B4E"/>
    <w:rsid w:val="008A6EBF"/>
    <w:rsid w:val="008A7069"/>
    <w:rsid w:val="008A7467"/>
    <w:rsid w:val="008A77C3"/>
    <w:rsid w:val="008A7CDC"/>
    <w:rsid w:val="008B08AC"/>
    <w:rsid w:val="008B0C27"/>
    <w:rsid w:val="008B0FA0"/>
    <w:rsid w:val="008B1164"/>
    <w:rsid w:val="008B1264"/>
    <w:rsid w:val="008B1442"/>
    <w:rsid w:val="008B159A"/>
    <w:rsid w:val="008B2291"/>
    <w:rsid w:val="008B229C"/>
    <w:rsid w:val="008B2899"/>
    <w:rsid w:val="008B2922"/>
    <w:rsid w:val="008B32A2"/>
    <w:rsid w:val="008B3984"/>
    <w:rsid w:val="008B3FF1"/>
    <w:rsid w:val="008B4171"/>
    <w:rsid w:val="008B41BC"/>
    <w:rsid w:val="008B42F1"/>
    <w:rsid w:val="008B464B"/>
    <w:rsid w:val="008B4B96"/>
    <w:rsid w:val="008B51E9"/>
    <w:rsid w:val="008B5AE6"/>
    <w:rsid w:val="008B5B93"/>
    <w:rsid w:val="008B5CD3"/>
    <w:rsid w:val="008B5F1E"/>
    <w:rsid w:val="008B6033"/>
    <w:rsid w:val="008B6783"/>
    <w:rsid w:val="008B6BC5"/>
    <w:rsid w:val="008B7437"/>
    <w:rsid w:val="008B75B2"/>
    <w:rsid w:val="008B7600"/>
    <w:rsid w:val="008B7C5D"/>
    <w:rsid w:val="008C0195"/>
    <w:rsid w:val="008C06C9"/>
    <w:rsid w:val="008C0DC9"/>
    <w:rsid w:val="008C0EEE"/>
    <w:rsid w:val="008C1382"/>
    <w:rsid w:val="008C1574"/>
    <w:rsid w:val="008C1947"/>
    <w:rsid w:val="008C1C95"/>
    <w:rsid w:val="008C1F59"/>
    <w:rsid w:val="008C222D"/>
    <w:rsid w:val="008C2248"/>
    <w:rsid w:val="008C2A37"/>
    <w:rsid w:val="008C2F16"/>
    <w:rsid w:val="008C332B"/>
    <w:rsid w:val="008C33E9"/>
    <w:rsid w:val="008C38D4"/>
    <w:rsid w:val="008C38DD"/>
    <w:rsid w:val="008C39D6"/>
    <w:rsid w:val="008C3B36"/>
    <w:rsid w:val="008C3E53"/>
    <w:rsid w:val="008C4B4C"/>
    <w:rsid w:val="008C4D62"/>
    <w:rsid w:val="008C5124"/>
    <w:rsid w:val="008C58E6"/>
    <w:rsid w:val="008C5E78"/>
    <w:rsid w:val="008C5EFF"/>
    <w:rsid w:val="008C6227"/>
    <w:rsid w:val="008C62D2"/>
    <w:rsid w:val="008C6421"/>
    <w:rsid w:val="008C6506"/>
    <w:rsid w:val="008C68B4"/>
    <w:rsid w:val="008C7297"/>
    <w:rsid w:val="008C7799"/>
    <w:rsid w:val="008C7868"/>
    <w:rsid w:val="008C7AC7"/>
    <w:rsid w:val="008C7B03"/>
    <w:rsid w:val="008C7F0D"/>
    <w:rsid w:val="008C7F69"/>
    <w:rsid w:val="008D0221"/>
    <w:rsid w:val="008D06BF"/>
    <w:rsid w:val="008D0B0A"/>
    <w:rsid w:val="008D1B2E"/>
    <w:rsid w:val="008D1C50"/>
    <w:rsid w:val="008D1CFD"/>
    <w:rsid w:val="008D1D55"/>
    <w:rsid w:val="008D1D99"/>
    <w:rsid w:val="008D21B6"/>
    <w:rsid w:val="008D2422"/>
    <w:rsid w:val="008D27DA"/>
    <w:rsid w:val="008D27F6"/>
    <w:rsid w:val="008D2911"/>
    <w:rsid w:val="008D29C2"/>
    <w:rsid w:val="008D29CA"/>
    <w:rsid w:val="008D2A37"/>
    <w:rsid w:val="008D3A41"/>
    <w:rsid w:val="008D3DBD"/>
    <w:rsid w:val="008D4095"/>
    <w:rsid w:val="008D40AA"/>
    <w:rsid w:val="008D4A2D"/>
    <w:rsid w:val="008D4BC8"/>
    <w:rsid w:val="008D4C09"/>
    <w:rsid w:val="008D4C5C"/>
    <w:rsid w:val="008D51A9"/>
    <w:rsid w:val="008D51FB"/>
    <w:rsid w:val="008D54E0"/>
    <w:rsid w:val="008D5A69"/>
    <w:rsid w:val="008D5C83"/>
    <w:rsid w:val="008D6944"/>
    <w:rsid w:val="008D6BB9"/>
    <w:rsid w:val="008D789E"/>
    <w:rsid w:val="008D7B86"/>
    <w:rsid w:val="008E0070"/>
    <w:rsid w:val="008E0D58"/>
    <w:rsid w:val="008E1827"/>
    <w:rsid w:val="008E1AA9"/>
    <w:rsid w:val="008E1B82"/>
    <w:rsid w:val="008E21DA"/>
    <w:rsid w:val="008E2943"/>
    <w:rsid w:val="008E2EDF"/>
    <w:rsid w:val="008E32A6"/>
    <w:rsid w:val="008E3449"/>
    <w:rsid w:val="008E381D"/>
    <w:rsid w:val="008E38CF"/>
    <w:rsid w:val="008E38E8"/>
    <w:rsid w:val="008E4686"/>
    <w:rsid w:val="008E4758"/>
    <w:rsid w:val="008E4943"/>
    <w:rsid w:val="008E4B88"/>
    <w:rsid w:val="008E4B9B"/>
    <w:rsid w:val="008E4BEB"/>
    <w:rsid w:val="008E4CBA"/>
    <w:rsid w:val="008E57CC"/>
    <w:rsid w:val="008E5A9F"/>
    <w:rsid w:val="008E6075"/>
    <w:rsid w:val="008E6733"/>
    <w:rsid w:val="008E6826"/>
    <w:rsid w:val="008E6E16"/>
    <w:rsid w:val="008E6F20"/>
    <w:rsid w:val="008E72A5"/>
    <w:rsid w:val="008E795B"/>
    <w:rsid w:val="008E7990"/>
    <w:rsid w:val="008E7E34"/>
    <w:rsid w:val="008E7FF0"/>
    <w:rsid w:val="008F0034"/>
    <w:rsid w:val="008F004E"/>
    <w:rsid w:val="008F01A3"/>
    <w:rsid w:val="008F04BC"/>
    <w:rsid w:val="008F0AC6"/>
    <w:rsid w:val="008F1598"/>
    <w:rsid w:val="008F1911"/>
    <w:rsid w:val="008F1AE9"/>
    <w:rsid w:val="008F1BC9"/>
    <w:rsid w:val="008F2018"/>
    <w:rsid w:val="008F2387"/>
    <w:rsid w:val="008F2791"/>
    <w:rsid w:val="008F2804"/>
    <w:rsid w:val="008F2C7F"/>
    <w:rsid w:val="008F2F03"/>
    <w:rsid w:val="008F325A"/>
    <w:rsid w:val="008F32DF"/>
    <w:rsid w:val="008F36A1"/>
    <w:rsid w:val="008F37AA"/>
    <w:rsid w:val="008F3905"/>
    <w:rsid w:val="008F3A3D"/>
    <w:rsid w:val="008F3C79"/>
    <w:rsid w:val="008F419C"/>
    <w:rsid w:val="008F41D4"/>
    <w:rsid w:val="008F45D7"/>
    <w:rsid w:val="008F470C"/>
    <w:rsid w:val="008F4A4E"/>
    <w:rsid w:val="008F4F58"/>
    <w:rsid w:val="008F4F98"/>
    <w:rsid w:val="008F4FD7"/>
    <w:rsid w:val="008F5507"/>
    <w:rsid w:val="008F5772"/>
    <w:rsid w:val="008F58E6"/>
    <w:rsid w:val="008F5983"/>
    <w:rsid w:val="008F5B48"/>
    <w:rsid w:val="008F5DCD"/>
    <w:rsid w:val="008F5E07"/>
    <w:rsid w:val="008F6197"/>
    <w:rsid w:val="008F6A3B"/>
    <w:rsid w:val="008F6D60"/>
    <w:rsid w:val="008F6DF3"/>
    <w:rsid w:val="008F6FDA"/>
    <w:rsid w:val="008F70FA"/>
    <w:rsid w:val="008F7369"/>
    <w:rsid w:val="0090089C"/>
    <w:rsid w:val="00900D35"/>
    <w:rsid w:val="00901C50"/>
    <w:rsid w:val="009022CD"/>
    <w:rsid w:val="009023D9"/>
    <w:rsid w:val="00902467"/>
    <w:rsid w:val="009026EF"/>
    <w:rsid w:val="0090446A"/>
    <w:rsid w:val="00904581"/>
    <w:rsid w:val="009054F6"/>
    <w:rsid w:val="00905A60"/>
    <w:rsid w:val="00905CB7"/>
    <w:rsid w:val="00905DAB"/>
    <w:rsid w:val="00906252"/>
    <w:rsid w:val="009062E6"/>
    <w:rsid w:val="0090630F"/>
    <w:rsid w:val="00906586"/>
    <w:rsid w:val="0090675B"/>
    <w:rsid w:val="00906AF8"/>
    <w:rsid w:val="0090743B"/>
    <w:rsid w:val="00907707"/>
    <w:rsid w:val="0090776A"/>
    <w:rsid w:val="00907CB7"/>
    <w:rsid w:val="009100E6"/>
    <w:rsid w:val="0091017B"/>
    <w:rsid w:val="00910401"/>
    <w:rsid w:val="00910542"/>
    <w:rsid w:val="0091080E"/>
    <w:rsid w:val="00911148"/>
    <w:rsid w:val="009118EC"/>
    <w:rsid w:val="00911C2C"/>
    <w:rsid w:val="00911DF7"/>
    <w:rsid w:val="00912D5F"/>
    <w:rsid w:val="0091351B"/>
    <w:rsid w:val="00913612"/>
    <w:rsid w:val="009137A9"/>
    <w:rsid w:val="009140A5"/>
    <w:rsid w:val="00914286"/>
    <w:rsid w:val="0091530B"/>
    <w:rsid w:val="00915BCB"/>
    <w:rsid w:val="00915C51"/>
    <w:rsid w:val="0091608F"/>
    <w:rsid w:val="009165E0"/>
    <w:rsid w:val="00916958"/>
    <w:rsid w:val="00916EE9"/>
    <w:rsid w:val="00917060"/>
    <w:rsid w:val="009173D6"/>
    <w:rsid w:val="0091747C"/>
    <w:rsid w:val="00917A5B"/>
    <w:rsid w:val="00917B01"/>
    <w:rsid w:val="00917E48"/>
    <w:rsid w:val="00920071"/>
    <w:rsid w:val="00920A69"/>
    <w:rsid w:val="00920F48"/>
    <w:rsid w:val="00921435"/>
    <w:rsid w:val="00921D4C"/>
    <w:rsid w:val="0092259D"/>
    <w:rsid w:val="00922B32"/>
    <w:rsid w:val="00922FD4"/>
    <w:rsid w:val="0092317F"/>
    <w:rsid w:val="0092390F"/>
    <w:rsid w:val="00923C42"/>
    <w:rsid w:val="00923DEE"/>
    <w:rsid w:val="00923F97"/>
    <w:rsid w:val="00924420"/>
    <w:rsid w:val="00924C29"/>
    <w:rsid w:val="0092508E"/>
    <w:rsid w:val="00925A6A"/>
    <w:rsid w:val="00925B58"/>
    <w:rsid w:val="00926287"/>
    <w:rsid w:val="0092648B"/>
    <w:rsid w:val="00926D54"/>
    <w:rsid w:val="00926D59"/>
    <w:rsid w:val="00926D9B"/>
    <w:rsid w:val="00926DAC"/>
    <w:rsid w:val="00926E76"/>
    <w:rsid w:val="00927472"/>
    <w:rsid w:val="00927B2F"/>
    <w:rsid w:val="00930297"/>
    <w:rsid w:val="00930413"/>
    <w:rsid w:val="009304BE"/>
    <w:rsid w:val="009304D4"/>
    <w:rsid w:val="00930666"/>
    <w:rsid w:val="00932143"/>
    <w:rsid w:val="009322A8"/>
    <w:rsid w:val="00932431"/>
    <w:rsid w:val="0093244F"/>
    <w:rsid w:val="00932DD0"/>
    <w:rsid w:val="0093319F"/>
    <w:rsid w:val="009335ED"/>
    <w:rsid w:val="0093413D"/>
    <w:rsid w:val="00934280"/>
    <w:rsid w:val="009345B5"/>
    <w:rsid w:val="0093493D"/>
    <w:rsid w:val="00934A4E"/>
    <w:rsid w:val="00935A80"/>
    <w:rsid w:val="00935C7C"/>
    <w:rsid w:val="00936236"/>
    <w:rsid w:val="009367A8"/>
    <w:rsid w:val="00936B2B"/>
    <w:rsid w:val="00936BA5"/>
    <w:rsid w:val="00936D66"/>
    <w:rsid w:val="00937011"/>
    <w:rsid w:val="00937747"/>
    <w:rsid w:val="00937A7A"/>
    <w:rsid w:val="00937CF3"/>
    <w:rsid w:val="0094014F"/>
    <w:rsid w:val="009401EC"/>
    <w:rsid w:val="009404BB"/>
    <w:rsid w:val="0094066A"/>
    <w:rsid w:val="00940BD2"/>
    <w:rsid w:val="00940EB8"/>
    <w:rsid w:val="009410D7"/>
    <w:rsid w:val="0094192E"/>
    <w:rsid w:val="00941B10"/>
    <w:rsid w:val="00941BD5"/>
    <w:rsid w:val="00941C2D"/>
    <w:rsid w:val="00941C79"/>
    <w:rsid w:val="00942686"/>
    <w:rsid w:val="009426FE"/>
    <w:rsid w:val="00942751"/>
    <w:rsid w:val="00942ABB"/>
    <w:rsid w:val="00942E7E"/>
    <w:rsid w:val="00942F38"/>
    <w:rsid w:val="00943375"/>
    <w:rsid w:val="009445F2"/>
    <w:rsid w:val="00944623"/>
    <w:rsid w:val="0094463A"/>
    <w:rsid w:val="00944B3C"/>
    <w:rsid w:val="00944E9E"/>
    <w:rsid w:val="00945633"/>
    <w:rsid w:val="0094571F"/>
    <w:rsid w:val="00945978"/>
    <w:rsid w:val="00945A2E"/>
    <w:rsid w:val="00945BAB"/>
    <w:rsid w:val="00945C8D"/>
    <w:rsid w:val="00945E45"/>
    <w:rsid w:val="00946006"/>
    <w:rsid w:val="00946E23"/>
    <w:rsid w:val="00947BAE"/>
    <w:rsid w:val="00947C0D"/>
    <w:rsid w:val="009504F1"/>
    <w:rsid w:val="00950AAA"/>
    <w:rsid w:val="00950D43"/>
    <w:rsid w:val="00951171"/>
    <w:rsid w:val="00951286"/>
    <w:rsid w:val="00951666"/>
    <w:rsid w:val="00951FC3"/>
    <w:rsid w:val="009532D6"/>
    <w:rsid w:val="009538E1"/>
    <w:rsid w:val="00953D03"/>
    <w:rsid w:val="00953D7C"/>
    <w:rsid w:val="00953E10"/>
    <w:rsid w:val="00954DB1"/>
    <w:rsid w:val="00954FCA"/>
    <w:rsid w:val="00955762"/>
    <w:rsid w:val="00955C14"/>
    <w:rsid w:val="00955C36"/>
    <w:rsid w:val="00956100"/>
    <w:rsid w:val="00956278"/>
    <w:rsid w:val="0095639E"/>
    <w:rsid w:val="009566A7"/>
    <w:rsid w:val="00956C92"/>
    <w:rsid w:val="00956EEF"/>
    <w:rsid w:val="00956F3E"/>
    <w:rsid w:val="00957187"/>
    <w:rsid w:val="0095723C"/>
    <w:rsid w:val="00957671"/>
    <w:rsid w:val="00960268"/>
    <w:rsid w:val="009604D3"/>
    <w:rsid w:val="00960674"/>
    <w:rsid w:val="00960954"/>
    <w:rsid w:val="00960CC7"/>
    <w:rsid w:val="00960E8D"/>
    <w:rsid w:val="00961693"/>
    <w:rsid w:val="00962153"/>
    <w:rsid w:val="009625EC"/>
    <w:rsid w:val="009626D4"/>
    <w:rsid w:val="00962CE7"/>
    <w:rsid w:val="00962EC3"/>
    <w:rsid w:val="009638B1"/>
    <w:rsid w:val="009638EB"/>
    <w:rsid w:val="00963F28"/>
    <w:rsid w:val="00963F9B"/>
    <w:rsid w:val="00964305"/>
    <w:rsid w:val="009645F6"/>
    <w:rsid w:val="0096481C"/>
    <w:rsid w:val="009655C9"/>
    <w:rsid w:val="00965681"/>
    <w:rsid w:val="009656BE"/>
    <w:rsid w:val="00965A03"/>
    <w:rsid w:val="00965E93"/>
    <w:rsid w:val="0096640D"/>
    <w:rsid w:val="009665FB"/>
    <w:rsid w:val="00966AC3"/>
    <w:rsid w:val="00966D02"/>
    <w:rsid w:val="0096715A"/>
    <w:rsid w:val="0096760C"/>
    <w:rsid w:val="00967BD9"/>
    <w:rsid w:val="00967BDF"/>
    <w:rsid w:val="00970385"/>
    <w:rsid w:val="009709CD"/>
    <w:rsid w:val="00970E23"/>
    <w:rsid w:val="009717C2"/>
    <w:rsid w:val="00971882"/>
    <w:rsid w:val="00971AD6"/>
    <w:rsid w:val="00971DAC"/>
    <w:rsid w:val="00971FEC"/>
    <w:rsid w:val="00972855"/>
    <w:rsid w:val="0097285F"/>
    <w:rsid w:val="00972958"/>
    <w:rsid w:val="00972C87"/>
    <w:rsid w:val="00972FD7"/>
    <w:rsid w:val="009730EE"/>
    <w:rsid w:val="009735B2"/>
    <w:rsid w:val="009735F7"/>
    <w:rsid w:val="0097389E"/>
    <w:rsid w:val="00974208"/>
    <w:rsid w:val="00974CC0"/>
    <w:rsid w:val="009755D6"/>
    <w:rsid w:val="00975A0B"/>
    <w:rsid w:val="00975B93"/>
    <w:rsid w:val="00975E87"/>
    <w:rsid w:val="00975F59"/>
    <w:rsid w:val="0097612A"/>
    <w:rsid w:val="00976265"/>
    <w:rsid w:val="00976AE2"/>
    <w:rsid w:val="009775CA"/>
    <w:rsid w:val="009776CB"/>
    <w:rsid w:val="00977F1E"/>
    <w:rsid w:val="00977F28"/>
    <w:rsid w:val="00980856"/>
    <w:rsid w:val="00980A9A"/>
    <w:rsid w:val="00981549"/>
    <w:rsid w:val="009816FA"/>
    <w:rsid w:val="009822F5"/>
    <w:rsid w:val="0098233B"/>
    <w:rsid w:val="00982373"/>
    <w:rsid w:val="009824FA"/>
    <w:rsid w:val="0098295C"/>
    <w:rsid w:val="00982977"/>
    <w:rsid w:val="00982A5B"/>
    <w:rsid w:val="00982B9C"/>
    <w:rsid w:val="00982E5B"/>
    <w:rsid w:val="0098322E"/>
    <w:rsid w:val="0098379B"/>
    <w:rsid w:val="00983CF8"/>
    <w:rsid w:val="00984682"/>
    <w:rsid w:val="00984A8E"/>
    <w:rsid w:val="00984F0B"/>
    <w:rsid w:val="009855CC"/>
    <w:rsid w:val="009860B6"/>
    <w:rsid w:val="009866E3"/>
    <w:rsid w:val="009868C9"/>
    <w:rsid w:val="00986F12"/>
    <w:rsid w:val="009875B9"/>
    <w:rsid w:val="0098781F"/>
    <w:rsid w:val="0098791C"/>
    <w:rsid w:val="0099026F"/>
    <w:rsid w:val="00990344"/>
    <w:rsid w:val="00991338"/>
    <w:rsid w:val="00991498"/>
    <w:rsid w:val="009916BB"/>
    <w:rsid w:val="00991704"/>
    <w:rsid w:val="009917DA"/>
    <w:rsid w:val="0099197A"/>
    <w:rsid w:val="0099229A"/>
    <w:rsid w:val="00992656"/>
    <w:rsid w:val="009931F7"/>
    <w:rsid w:val="00993AB6"/>
    <w:rsid w:val="009943D4"/>
    <w:rsid w:val="00994813"/>
    <w:rsid w:val="00995011"/>
    <w:rsid w:val="0099592C"/>
    <w:rsid w:val="009963F3"/>
    <w:rsid w:val="009964EC"/>
    <w:rsid w:val="009965B7"/>
    <w:rsid w:val="009967B2"/>
    <w:rsid w:val="009969A0"/>
    <w:rsid w:val="00996AE7"/>
    <w:rsid w:val="00996B27"/>
    <w:rsid w:val="00996D72"/>
    <w:rsid w:val="009970F0"/>
    <w:rsid w:val="009A04B6"/>
    <w:rsid w:val="009A04BE"/>
    <w:rsid w:val="009A05AC"/>
    <w:rsid w:val="009A0901"/>
    <w:rsid w:val="009A0BB8"/>
    <w:rsid w:val="009A1188"/>
    <w:rsid w:val="009A1329"/>
    <w:rsid w:val="009A251D"/>
    <w:rsid w:val="009A2972"/>
    <w:rsid w:val="009A299B"/>
    <w:rsid w:val="009A343E"/>
    <w:rsid w:val="009A4026"/>
    <w:rsid w:val="009A4F19"/>
    <w:rsid w:val="009A52A6"/>
    <w:rsid w:val="009A53FB"/>
    <w:rsid w:val="009A54D6"/>
    <w:rsid w:val="009A55B1"/>
    <w:rsid w:val="009A57AF"/>
    <w:rsid w:val="009A5EFF"/>
    <w:rsid w:val="009A6803"/>
    <w:rsid w:val="009A6A0B"/>
    <w:rsid w:val="009A6A57"/>
    <w:rsid w:val="009A6BB8"/>
    <w:rsid w:val="009A7104"/>
    <w:rsid w:val="009A78D2"/>
    <w:rsid w:val="009A7B13"/>
    <w:rsid w:val="009A7BD9"/>
    <w:rsid w:val="009B028E"/>
    <w:rsid w:val="009B03AB"/>
    <w:rsid w:val="009B07D0"/>
    <w:rsid w:val="009B0D27"/>
    <w:rsid w:val="009B16AF"/>
    <w:rsid w:val="009B16B9"/>
    <w:rsid w:val="009B1A14"/>
    <w:rsid w:val="009B1B06"/>
    <w:rsid w:val="009B1B60"/>
    <w:rsid w:val="009B1D74"/>
    <w:rsid w:val="009B1EE1"/>
    <w:rsid w:val="009B215E"/>
    <w:rsid w:val="009B21E9"/>
    <w:rsid w:val="009B220B"/>
    <w:rsid w:val="009B22CF"/>
    <w:rsid w:val="009B244A"/>
    <w:rsid w:val="009B2733"/>
    <w:rsid w:val="009B2881"/>
    <w:rsid w:val="009B2976"/>
    <w:rsid w:val="009B34C3"/>
    <w:rsid w:val="009B3980"/>
    <w:rsid w:val="009B3C21"/>
    <w:rsid w:val="009B4198"/>
    <w:rsid w:val="009B434D"/>
    <w:rsid w:val="009B4EA7"/>
    <w:rsid w:val="009B57EB"/>
    <w:rsid w:val="009B5C40"/>
    <w:rsid w:val="009B5E81"/>
    <w:rsid w:val="009B619F"/>
    <w:rsid w:val="009B61D1"/>
    <w:rsid w:val="009B62BB"/>
    <w:rsid w:val="009B62E2"/>
    <w:rsid w:val="009B6390"/>
    <w:rsid w:val="009B63AD"/>
    <w:rsid w:val="009B64CE"/>
    <w:rsid w:val="009B691D"/>
    <w:rsid w:val="009B6A4C"/>
    <w:rsid w:val="009B7A11"/>
    <w:rsid w:val="009B7A36"/>
    <w:rsid w:val="009B7D87"/>
    <w:rsid w:val="009B7E61"/>
    <w:rsid w:val="009C03B5"/>
    <w:rsid w:val="009C0733"/>
    <w:rsid w:val="009C0ACB"/>
    <w:rsid w:val="009C0D8E"/>
    <w:rsid w:val="009C144E"/>
    <w:rsid w:val="009C2060"/>
    <w:rsid w:val="009C233E"/>
    <w:rsid w:val="009C272C"/>
    <w:rsid w:val="009C3071"/>
    <w:rsid w:val="009C3DD4"/>
    <w:rsid w:val="009C4004"/>
    <w:rsid w:val="009C4256"/>
    <w:rsid w:val="009C4BB1"/>
    <w:rsid w:val="009C4C13"/>
    <w:rsid w:val="009C4F36"/>
    <w:rsid w:val="009C51E9"/>
    <w:rsid w:val="009C5756"/>
    <w:rsid w:val="009C581F"/>
    <w:rsid w:val="009C5991"/>
    <w:rsid w:val="009C5A0E"/>
    <w:rsid w:val="009C5C8A"/>
    <w:rsid w:val="009C6615"/>
    <w:rsid w:val="009C67F2"/>
    <w:rsid w:val="009C6ADD"/>
    <w:rsid w:val="009C704A"/>
    <w:rsid w:val="009C7489"/>
    <w:rsid w:val="009C749F"/>
    <w:rsid w:val="009C75C2"/>
    <w:rsid w:val="009C774F"/>
    <w:rsid w:val="009C7CB7"/>
    <w:rsid w:val="009D0467"/>
    <w:rsid w:val="009D0647"/>
    <w:rsid w:val="009D06D1"/>
    <w:rsid w:val="009D06DC"/>
    <w:rsid w:val="009D0A94"/>
    <w:rsid w:val="009D0C51"/>
    <w:rsid w:val="009D0CC9"/>
    <w:rsid w:val="009D0DE8"/>
    <w:rsid w:val="009D13A7"/>
    <w:rsid w:val="009D1528"/>
    <w:rsid w:val="009D192A"/>
    <w:rsid w:val="009D1AC2"/>
    <w:rsid w:val="009D22AF"/>
    <w:rsid w:val="009D2AF5"/>
    <w:rsid w:val="009D2D5A"/>
    <w:rsid w:val="009D34C2"/>
    <w:rsid w:val="009D3863"/>
    <w:rsid w:val="009D3899"/>
    <w:rsid w:val="009D3CC7"/>
    <w:rsid w:val="009D4BFA"/>
    <w:rsid w:val="009D5061"/>
    <w:rsid w:val="009D5186"/>
    <w:rsid w:val="009D54AF"/>
    <w:rsid w:val="009D576A"/>
    <w:rsid w:val="009D5844"/>
    <w:rsid w:val="009D58C6"/>
    <w:rsid w:val="009D596B"/>
    <w:rsid w:val="009D5B57"/>
    <w:rsid w:val="009D618C"/>
    <w:rsid w:val="009D655B"/>
    <w:rsid w:val="009D69CF"/>
    <w:rsid w:val="009D6B24"/>
    <w:rsid w:val="009D6D82"/>
    <w:rsid w:val="009D70B3"/>
    <w:rsid w:val="009D754A"/>
    <w:rsid w:val="009D77C9"/>
    <w:rsid w:val="009E0295"/>
    <w:rsid w:val="009E0379"/>
    <w:rsid w:val="009E0D19"/>
    <w:rsid w:val="009E1D4B"/>
    <w:rsid w:val="009E1D7E"/>
    <w:rsid w:val="009E1E5B"/>
    <w:rsid w:val="009E255A"/>
    <w:rsid w:val="009E2699"/>
    <w:rsid w:val="009E269B"/>
    <w:rsid w:val="009E2A98"/>
    <w:rsid w:val="009E2D86"/>
    <w:rsid w:val="009E2F3A"/>
    <w:rsid w:val="009E355C"/>
    <w:rsid w:val="009E3644"/>
    <w:rsid w:val="009E4A12"/>
    <w:rsid w:val="009E4A9E"/>
    <w:rsid w:val="009E52B2"/>
    <w:rsid w:val="009E5EDB"/>
    <w:rsid w:val="009E5FBA"/>
    <w:rsid w:val="009E6634"/>
    <w:rsid w:val="009E6DB3"/>
    <w:rsid w:val="009E6DC2"/>
    <w:rsid w:val="009E77BA"/>
    <w:rsid w:val="009E7AFE"/>
    <w:rsid w:val="009E7BE1"/>
    <w:rsid w:val="009E7D62"/>
    <w:rsid w:val="009F06FF"/>
    <w:rsid w:val="009F0AD6"/>
    <w:rsid w:val="009F0F66"/>
    <w:rsid w:val="009F12C5"/>
    <w:rsid w:val="009F160E"/>
    <w:rsid w:val="009F1A4F"/>
    <w:rsid w:val="009F2FAF"/>
    <w:rsid w:val="009F32B7"/>
    <w:rsid w:val="009F3310"/>
    <w:rsid w:val="009F42E9"/>
    <w:rsid w:val="009F4765"/>
    <w:rsid w:val="009F480C"/>
    <w:rsid w:val="009F48C2"/>
    <w:rsid w:val="009F504C"/>
    <w:rsid w:val="009F5A36"/>
    <w:rsid w:val="009F5A8A"/>
    <w:rsid w:val="009F5B38"/>
    <w:rsid w:val="009F64F9"/>
    <w:rsid w:val="009F6FA7"/>
    <w:rsid w:val="009F7074"/>
    <w:rsid w:val="009F716E"/>
    <w:rsid w:val="009F7562"/>
    <w:rsid w:val="009F769C"/>
    <w:rsid w:val="009F7CA3"/>
    <w:rsid w:val="00A0002B"/>
    <w:rsid w:val="00A00806"/>
    <w:rsid w:val="00A012C8"/>
    <w:rsid w:val="00A0144B"/>
    <w:rsid w:val="00A015C9"/>
    <w:rsid w:val="00A021A9"/>
    <w:rsid w:val="00A02774"/>
    <w:rsid w:val="00A028D3"/>
    <w:rsid w:val="00A02999"/>
    <w:rsid w:val="00A03311"/>
    <w:rsid w:val="00A03648"/>
    <w:rsid w:val="00A03B27"/>
    <w:rsid w:val="00A03B5C"/>
    <w:rsid w:val="00A03BA3"/>
    <w:rsid w:val="00A03F71"/>
    <w:rsid w:val="00A03FD7"/>
    <w:rsid w:val="00A03FFB"/>
    <w:rsid w:val="00A046BE"/>
    <w:rsid w:val="00A04F52"/>
    <w:rsid w:val="00A053BF"/>
    <w:rsid w:val="00A05599"/>
    <w:rsid w:val="00A06256"/>
    <w:rsid w:val="00A06ABC"/>
    <w:rsid w:val="00A06AC7"/>
    <w:rsid w:val="00A06C44"/>
    <w:rsid w:val="00A073FE"/>
    <w:rsid w:val="00A07A8A"/>
    <w:rsid w:val="00A10178"/>
    <w:rsid w:val="00A1058D"/>
    <w:rsid w:val="00A11ACE"/>
    <w:rsid w:val="00A11B3C"/>
    <w:rsid w:val="00A11BB3"/>
    <w:rsid w:val="00A12036"/>
    <w:rsid w:val="00A128C6"/>
    <w:rsid w:val="00A13024"/>
    <w:rsid w:val="00A132CE"/>
    <w:rsid w:val="00A13374"/>
    <w:rsid w:val="00A13720"/>
    <w:rsid w:val="00A138CD"/>
    <w:rsid w:val="00A140B3"/>
    <w:rsid w:val="00A145D5"/>
    <w:rsid w:val="00A14690"/>
    <w:rsid w:val="00A148EC"/>
    <w:rsid w:val="00A14E4D"/>
    <w:rsid w:val="00A15008"/>
    <w:rsid w:val="00A15165"/>
    <w:rsid w:val="00A15534"/>
    <w:rsid w:val="00A15891"/>
    <w:rsid w:val="00A15AB1"/>
    <w:rsid w:val="00A15EA8"/>
    <w:rsid w:val="00A16153"/>
    <w:rsid w:val="00A165B1"/>
    <w:rsid w:val="00A16708"/>
    <w:rsid w:val="00A16947"/>
    <w:rsid w:val="00A16C62"/>
    <w:rsid w:val="00A16EFC"/>
    <w:rsid w:val="00A16FB5"/>
    <w:rsid w:val="00A17029"/>
    <w:rsid w:val="00A1714A"/>
    <w:rsid w:val="00A1767B"/>
    <w:rsid w:val="00A17C36"/>
    <w:rsid w:val="00A17FCC"/>
    <w:rsid w:val="00A2036F"/>
    <w:rsid w:val="00A20A62"/>
    <w:rsid w:val="00A21146"/>
    <w:rsid w:val="00A215CE"/>
    <w:rsid w:val="00A21DD0"/>
    <w:rsid w:val="00A2244D"/>
    <w:rsid w:val="00A22B1D"/>
    <w:rsid w:val="00A22BE7"/>
    <w:rsid w:val="00A22D10"/>
    <w:rsid w:val="00A2308E"/>
    <w:rsid w:val="00A237E2"/>
    <w:rsid w:val="00A23942"/>
    <w:rsid w:val="00A2493C"/>
    <w:rsid w:val="00A24C3F"/>
    <w:rsid w:val="00A2516A"/>
    <w:rsid w:val="00A254A3"/>
    <w:rsid w:val="00A25B62"/>
    <w:rsid w:val="00A25C2B"/>
    <w:rsid w:val="00A25FD6"/>
    <w:rsid w:val="00A26589"/>
    <w:rsid w:val="00A26714"/>
    <w:rsid w:val="00A27178"/>
    <w:rsid w:val="00A276CA"/>
    <w:rsid w:val="00A277CF"/>
    <w:rsid w:val="00A27CBF"/>
    <w:rsid w:val="00A3026A"/>
    <w:rsid w:val="00A302F1"/>
    <w:rsid w:val="00A302FF"/>
    <w:rsid w:val="00A30A76"/>
    <w:rsid w:val="00A30DEA"/>
    <w:rsid w:val="00A30F92"/>
    <w:rsid w:val="00A31208"/>
    <w:rsid w:val="00A31909"/>
    <w:rsid w:val="00A31AED"/>
    <w:rsid w:val="00A31CE3"/>
    <w:rsid w:val="00A31E69"/>
    <w:rsid w:val="00A322BB"/>
    <w:rsid w:val="00A326EB"/>
    <w:rsid w:val="00A33987"/>
    <w:rsid w:val="00A33AF7"/>
    <w:rsid w:val="00A33F8E"/>
    <w:rsid w:val="00A34686"/>
    <w:rsid w:val="00A352A4"/>
    <w:rsid w:val="00A3593F"/>
    <w:rsid w:val="00A35A77"/>
    <w:rsid w:val="00A35E1C"/>
    <w:rsid w:val="00A36013"/>
    <w:rsid w:val="00A368F8"/>
    <w:rsid w:val="00A36979"/>
    <w:rsid w:val="00A36ABA"/>
    <w:rsid w:val="00A36D99"/>
    <w:rsid w:val="00A36FED"/>
    <w:rsid w:val="00A3704D"/>
    <w:rsid w:val="00A371B6"/>
    <w:rsid w:val="00A37710"/>
    <w:rsid w:val="00A37AB6"/>
    <w:rsid w:val="00A37D83"/>
    <w:rsid w:val="00A4005D"/>
    <w:rsid w:val="00A40197"/>
    <w:rsid w:val="00A40362"/>
    <w:rsid w:val="00A4041D"/>
    <w:rsid w:val="00A40881"/>
    <w:rsid w:val="00A408D7"/>
    <w:rsid w:val="00A41322"/>
    <w:rsid w:val="00A41412"/>
    <w:rsid w:val="00A4153A"/>
    <w:rsid w:val="00A4185E"/>
    <w:rsid w:val="00A41A4F"/>
    <w:rsid w:val="00A41E11"/>
    <w:rsid w:val="00A42176"/>
    <w:rsid w:val="00A42772"/>
    <w:rsid w:val="00A42928"/>
    <w:rsid w:val="00A42D8B"/>
    <w:rsid w:val="00A42EC0"/>
    <w:rsid w:val="00A42ECF"/>
    <w:rsid w:val="00A42ED9"/>
    <w:rsid w:val="00A43520"/>
    <w:rsid w:val="00A4367A"/>
    <w:rsid w:val="00A43709"/>
    <w:rsid w:val="00A43D51"/>
    <w:rsid w:val="00A441C8"/>
    <w:rsid w:val="00A443E5"/>
    <w:rsid w:val="00A44A08"/>
    <w:rsid w:val="00A44B5D"/>
    <w:rsid w:val="00A44FA2"/>
    <w:rsid w:val="00A44FB6"/>
    <w:rsid w:val="00A45001"/>
    <w:rsid w:val="00A450E7"/>
    <w:rsid w:val="00A45E01"/>
    <w:rsid w:val="00A4710E"/>
    <w:rsid w:val="00A4796B"/>
    <w:rsid w:val="00A47C70"/>
    <w:rsid w:val="00A47EBA"/>
    <w:rsid w:val="00A50B0E"/>
    <w:rsid w:val="00A50BD1"/>
    <w:rsid w:val="00A50CBB"/>
    <w:rsid w:val="00A50D7E"/>
    <w:rsid w:val="00A50E44"/>
    <w:rsid w:val="00A5101D"/>
    <w:rsid w:val="00A51246"/>
    <w:rsid w:val="00A513F8"/>
    <w:rsid w:val="00A5181D"/>
    <w:rsid w:val="00A51AB1"/>
    <w:rsid w:val="00A5234B"/>
    <w:rsid w:val="00A5246E"/>
    <w:rsid w:val="00A528B4"/>
    <w:rsid w:val="00A52BDC"/>
    <w:rsid w:val="00A52E69"/>
    <w:rsid w:val="00A5344A"/>
    <w:rsid w:val="00A53465"/>
    <w:rsid w:val="00A535CB"/>
    <w:rsid w:val="00A53E1D"/>
    <w:rsid w:val="00A5408F"/>
    <w:rsid w:val="00A547B9"/>
    <w:rsid w:val="00A547E5"/>
    <w:rsid w:val="00A54B94"/>
    <w:rsid w:val="00A54D66"/>
    <w:rsid w:val="00A550EE"/>
    <w:rsid w:val="00A55A69"/>
    <w:rsid w:val="00A560C2"/>
    <w:rsid w:val="00A5628F"/>
    <w:rsid w:val="00A5655E"/>
    <w:rsid w:val="00A566A8"/>
    <w:rsid w:val="00A566D0"/>
    <w:rsid w:val="00A56A30"/>
    <w:rsid w:val="00A56B76"/>
    <w:rsid w:val="00A57280"/>
    <w:rsid w:val="00A5760D"/>
    <w:rsid w:val="00A576BD"/>
    <w:rsid w:val="00A57E2D"/>
    <w:rsid w:val="00A60085"/>
    <w:rsid w:val="00A603DF"/>
    <w:rsid w:val="00A604D3"/>
    <w:rsid w:val="00A605CB"/>
    <w:rsid w:val="00A609E6"/>
    <w:rsid w:val="00A60E71"/>
    <w:rsid w:val="00A61483"/>
    <w:rsid w:val="00A616F9"/>
    <w:rsid w:val="00A618C2"/>
    <w:rsid w:val="00A61C36"/>
    <w:rsid w:val="00A61E1F"/>
    <w:rsid w:val="00A61E91"/>
    <w:rsid w:val="00A626C3"/>
    <w:rsid w:val="00A62BBD"/>
    <w:rsid w:val="00A62E65"/>
    <w:rsid w:val="00A62F28"/>
    <w:rsid w:val="00A630CC"/>
    <w:rsid w:val="00A63386"/>
    <w:rsid w:val="00A634D9"/>
    <w:rsid w:val="00A636CC"/>
    <w:rsid w:val="00A639A5"/>
    <w:rsid w:val="00A63A7A"/>
    <w:rsid w:val="00A63D2E"/>
    <w:rsid w:val="00A63E3F"/>
    <w:rsid w:val="00A648C1"/>
    <w:rsid w:val="00A64A92"/>
    <w:rsid w:val="00A64C8F"/>
    <w:rsid w:val="00A64F6C"/>
    <w:rsid w:val="00A653DE"/>
    <w:rsid w:val="00A6546F"/>
    <w:rsid w:val="00A65916"/>
    <w:rsid w:val="00A6597C"/>
    <w:rsid w:val="00A65B63"/>
    <w:rsid w:val="00A65C9F"/>
    <w:rsid w:val="00A65F5C"/>
    <w:rsid w:val="00A670A0"/>
    <w:rsid w:val="00A670E5"/>
    <w:rsid w:val="00A67593"/>
    <w:rsid w:val="00A70F73"/>
    <w:rsid w:val="00A71282"/>
    <w:rsid w:val="00A71794"/>
    <w:rsid w:val="00A720E5"/>
    <w:rsid w:val="00A72495"/>
    <w:rsid w:val="00A72ADC"/>
    <w:rsid w:val="00A72B6A"/>
    <w:rsid w:val="00A72BD0"/>
    <w:rsid w:val="00A72D7A"/>
    <w:rsid w:val="00A7378F"/>
    <w:rsid w:val="00A737A6"/>
    <w:rsid w:val="00A73AFC"/>
    <w:rsid w:val="00A74048"/>
    <w:rsid w:val="00A7410E"/>
    <w:rsid w:val="00A75833"/>
    <w:rsid w:val="00A75A77"/>
    <w:rsid w:val="00A75BDE"/>
    <w:rsid w:val="00A76061"/>
    <w:rsid w:val="00A76FAF"/>
    <w:rsid w:val="00A76FFB"/>
    <w:rsid w:val="00A774CE"/>
    <w:rsid w:val="00A77729"/>
    <w:rsid w:val="00A77890"/>
    <w:rsid w:val="00A77E1D"/>
    <w:rsid w:val="00A77E66"/>
    <w:rsid w:val="00A80040"/>
    <w:rsid w:val="00A80124"/>
    <w:rsid w:val="00A80680"/>
    <w:rsid w:val="00A80DD6"/>
    <w:rsid w:val="00A81120"/>
    <w:rsid w:val="00A81246"/>
    <w:rsid w:val="00A81E16"/>
    <w:rsid w:val="00A828A7"/>
    <w:rsid w:val="00A828DF"/>
    <w:rsid w:val="00A829BB"/>
    <w:rsid w:val="00A82E2D"/>
    <w:rsid w:val="00A83476"/>
    <w:rsid w:val="00A83767"/>
    <w:rsid w:val="00A83B86"/>
    <w:rsid w:val="00A83FD0"/>
    <w:rsid w:val="00A84286"/>
    <w:rsid w:val="00A84BE3"/>
    <w:rsid w:val="00A84D2A"/>
    <w:rsid w:val="00A8589D"/>
    <w:rsid w:val="00A865FC"/>
    <w:rsid w:val="00A8677C"/>
    <w:rsid w:val="00A86D3A"/>
    <w:rsid w:val="00A873CD"/>
    <w:rsid w:val="00A8784E"/>
    <w:rsid w:val="00A87902"/>
    <w:rsid w:val="00A87A68"/>
    <w:rsid w:val="00A87E4A"/>
    <w:rsid w:val="00A905E8"/>
    <w:rsid w:val="00A90EB6"/>
    <w:rsid w:val="00A9125D"/>
    <w:rsid w:val="00A91314"/>
    <w:rsid w:val="00A92235"/>
    <w:rsid w:val="00A92495"/>
    <w:rsid w:val="00A9264A"/>
    <w:rsid w:val="00A9265D"/>
    <w:rsid w:val="00A92795"/>
    <w:rsid w:val="00A928AE"/>
    <w:rsid w:val="00A92F27"/>
    <w:rsid w:val="00A92FD4"/>
    <w:rsid w:val="00A93154"/>
    <w:rsid w:val="00A93772"/>
    <w:rsid w:val="00A93B69"/>
    <w:rsid w:val="00A93BF3"/>
    <w:rsid w:val="00A93E40"/>
    <w:rsid w:val="00A9404B"/>
    <w:rsid w:val="00A944A1"/>
    <w:rsid w:val="00A9455C"/>
    <w:rsid w:val="00A948BD"/>
    <w:rsid w:val="00A94963"/>
    <w:rsid w:val="00A94B1C"/>
    <w:rsid w:val="00A951AE"/>
    <w:rsid w:val="00A9541D"/>
    <w:rsid w:val="00A96274"/>
    <w:rsid w:val="00A9645F"/>
    <w:rsid w:val="00A96BE2"/>
    <w:rsid w:val="00A96C0B"/>
    <w:rsid w:val="00A96C5D"/>
    <w:rsid w:val="00A9703F"/>
    <w:rsid w:val="00A973CA"/>
    <w:rsid w:val="00A97640"/>
    <w:rsid w:val="00A9784D"/>
    <w:rsid w:val="00AA00F1"/>
    <w:rsid w:val="00AA0F26"/>
    <w:rsid w:val="00AA116C"/>
    <w:rsid w:val="00AA118A"/>
    <w:rsid w:val="00AA141A"/>
    <w:rsid w:val="00AA189C"/>
    <w:rsid w:val="00AA1F16"/>
    <w:rsid w:val="00AA2218"/>
    <w:rsid w:val="00AA23A3"/>
    <w:rsid w:val="00AA25B2"/>
    <w:rsid w:val="00AA28C7"/>
    <w:rsid w:val="00AA2B82"/>
    <w:rsid w:val="00AA3AA2"/>
    <w:rsid w:val="00AA43A8"/>
    <w:rsid w:val="00AA4F7D"/>
    <w:rsid w:val="00AA5220"/>
    <w:rsid w:val="00AA5449"/>
    <w:rsid w:val="00AA5470"/>
    <w:rsid w:val="00AA547A"/>
    <w:rsid w:val="00AA5615"/>
    <w:rsid w:val="00AA57A2"/>
    <w:rsid w:val="00AA5C78"/>
    <w:rsid w:val="00AA5E7F"/>
    <w:rsid w:val="00AA60EF"/>
    <w:rsid w:val="00AA659A"/>
    <w:rsid w:val="00AA665B"/>
    <w:rsid w:val="00AA67E9"/>
    <w:rsid w:val="00AA6999"/>
    <w:rsid w:val="00AA7601"/>
    <w:rsid w:val="00AB0276"/>
    <w:rsid w:val="00AB0598"/>
    <w:rsid w:val="00AB05AD"/>
    <w:rsid w:val="00AB12DB"/>
    <w:rsid w:val="00AB1739"/>
    <w:rsid w:val="00AB1F6D"/>
    <w:rsid w:val="00AB28F1"/>
    <w:rsid w:val="00AB2AF9"/>
    <w:rsid w:val="00AB33CB"/>
    <w:rsid w:val="00AB34C4"/>
    <w:rsid w:val="00AB3592"/>
    <w:rsid w:val="00AB35D2"/>
    <w:rsid w:val="00AB4404"/>
    <w:rsid w:val="00AB492C"/>
    <w:rsid w:val="00AB5016"/>
    <w:rsid w:val="00AB5070"/>
    <w:rsid w:val="00AB513B"/>
    <w:rsid w:val="00AB5926"/>
    <w:rsid w:val="00AB5E15"/>
    <w:rsid w:val="00AB6029"/>
    <w:rsid w:val="00AB631F"/>
    <w:rsid w:val="00AB6599"/>
    <w:rsid w:val="00AB6922"/>
    <w:rsid w:val="00AB726D"/>
    <w:rsid w:val="00AB756D"/>
    <w:rsid w:val="00AC0288"/>
    <w:rsid w:val="00AC06B5"/>
    <w:rsid w:val="00AC0748"/>
    <w:rsid w:val="00AC085A"/>
    <w:rsid w:val="00AC0873"/>
    <w:rsid w:val="00AC0F96"/>
    <w:rsid w:val="00AC19BF"/>
    <w:rsid w:val="00AC1A1C"/>
    <w:rsid w:val="00AC1B9A"/>
    <w:rsid w:val="00AC1D98"/>
    <w:rsid w:val="00AC1F9A"/>
    <w:rsid w:val="00AC2D12"/>
    <w:rsid w:val="00AC3081"/>
    <w:rsid w:val="00AC3088"/>
    <w:rsid w:val="00AC311C"/>
    <w:rsid w:val="00AC3600"/>
    <w:rsid w:val="00AC3723"/>
    <w:rsid w:val="00AC37BC"/>
    <w:rsid w:val="00AC3DF2"/>
    <w:rsid w:val="00AC40CD"/>
    <w:rsid w:val="00AC42CE"/>
    <w:rsid w:val="00AC4806"/>
    <w:rsid w:val="00AC4B46"/>
    <w:rsid w:val="00AC4C61"/>
    <w:rsid w:val="00AC4CD9"/>
    <w:rsid w:val="00AC4DEC"/>
    <w:rsid w:val="00AC4EBC"/>
    <w:rsid w:val="00AC52BF"/>
    <w:rsid w:val="00AC5873"/>
    <w:rsid w:val="00AC5988"/>
    <w:rsid w:val="00AC5CBC"/>
    <w:rsid w:val="00AC635A"/>
    <w:rsid w:val="00AC6583"/>
    <w:rsid w:val="00AC686B"/>
    <w:rsid w:val="00AC7106"/>
    <w:rsid w:val="00AC729D"/>
    <w:rsid w:val="00AC7309"/>
    <w:rsid w:val="00AC758B"/>
    <w:rsid w:val="00AC7D7D"/>
    <w:rsid w:val="00AC7E79"/>
    <w:rsid w:val="00AD0295"/>
    <w:rsid w:val="00AD0348"/>
    <w:rsid w:val="00AD041C"/>
    <w:rsid w:val="00AD060A"/>
    <w:rsid w:val="00AD06B3"/>
    <w:rsid w:val="00AD075B"/>
    <w:rsid w:val="00AD0833"/>
    <w:rsid w:val="00AD09E7"/>
    <w:rsid w:val="00AD1873"/>
    <w:rsid w:val="00AD19D7"/>
    <w:rsid w:val="00AD1DA8"/>
    <w:rsid w:val="00AD20F5"/>
    <w:rsid w:val="00AD21F3"/>
    <w:rsid w:val="00AD2893"/>
    <w:rsid w:val="00AD2B2B"/>
    <w:rsid w:val="00AD2F11"/>
    <w:rsid w:val="00AD3E47"/>
    <w:rsid w:val="00AD4B90"/>
    <w:rsid w:val="00AD56DB"/>
    <w:rsid w:val="00AD5B0A"/>
    <w:rsid w:val="00AD5E62"/>
    <w:rsid w:val="00AD6556"/>
    <w:rsid w:val="00AD660D"/>
    <w:rsid w:val="00AD66DE"/>
    <w:rsid w:val="00AD6A63"/>
    <w:rsid w:val="00AD6E52"/>
    <w:rsid w:val="00AD7064"/>
    <w:rsid w:val="00AD7224"/>
    <w:rsid w:val="00AD7263"/>
    <w:rsid w:val="00AD72CE"/>
    <w:rsid w:val="00AD7768"/>
    <w:rsid w:val="00AD77A9"/>
    <w:rsid w:val="00AD78BB"/>
    <w:rsid w:val="00AD7B9B"/>
    <w:rsid w:val="00AD7E5E"/>
    <w:rsid w:val="00AE0875"/>
    <w:rsid w:val="00AE0918"/>
    <w:rsid w:val="00AE0BA7"/>
    <w:rsid w:val="00AE1188"/>
    <w:rsid w:val="00AE127E"/>
    <w:rsid w:val="00AE1DA3"/>
    <w:rsid w:val="00AE1F09"/>
    <w:rsid w:val="00AE1F52"/>
    <w:rsid w:val="00AE1F8E"/>
    <w:rsid w:val="00AE2470"/>
    <w:rsid w:val="00AE31F4"/>
    <w:rsid w:val="00AE3D08"/>
    <w:rsid w:val="00AE4EFE"/>
    <w:rsid w:val="00AE4F6E"/>
    <w:rsid w:val="00AE57BB"/>
    <w:rsid w:val="00AE5ABD"/>
    <w:rsid w:val="00AE674D"/>
    <w:rsid w:val="00AE6D09"/>
    <w:rsid w:val="00AE6DB2"/>
    <w:rsid w:val="00AE6DCB"/>
    <w:rsid w:val="00AE6E30"/>
    <w:rsid w:val="00AE6FA6"/>
    <w:rsid w:val="00AE7214"/>
    <w:rsid w:val="00AE7410"/>
    <w:rsid w:val="00AE79BC"/>
    <w:rsid w:val="00AE7A0B"/>
    <w:rsid w:val="00AE7C11"/>
    <w:rsid w:val="00AF015F"/>
    <w:rsid w:val="00AF0338"/>
    <w:rsid w:val="00AF04D1"/>
    <w:rsid w:val="00AF0E45"/>
    <w:rsid w:val="00AF15AF"/>
    <w:rsid w:val="00AF16D5"/>
    <w:rsid w:val="00AF19D2"/>
    <w:rsid w:val="00AF1C7C"/>
    <w:rsid w:val="00AF1E2E"/>
    <w:rsid w:val="00AF2185"/>
    <w:rsid w:val="00AF239A"/>
    <w:rsid w:val="00AF2EDA"/>
    <w:rsid w:val="00AF318F"/>
    <w:rsid w:val="00AF34A1"/>
    <w:rsid w:val="00AF371C"/>
    <w:rsid w:val="00AF3824"/>
    <w:rsid w:val="00AF3CD6"/>
    <w:rsid w:val="00AF3D9D"/>
    <w:rsid w:val="00AF461A"/>
    <w:rsid w:val="00AF51AF"/>
    <w:rsid w:val="00AF547F"/>
    <w:rsid w:val="00AF54FB"/>
    <w:rsid w:val="00AF5775"/>
    <w:rsid w:val="00AF5D5E"/>
    <w:rsid w:val="00AF6685"/>
    <w:rsid w:val="00AF716C"/>
    <w:rsid w:val="00B004EE"/>
    <w:rsid w:val="00B0054B"/>
    <w:rsid w:val="00B00601"/>
    <w:rsid w:val="00B00897"/>
    <w:rsid w:val="00B00FAE"/>
    <w:rsid w:val="00B0111D"/>
    <w:rsid w:val="00B012A0"/>
    <w:rsid w:val="00B0164B"/>
    <w:rsid w:val="00B016D7"/>
    <w:rsid w:val="00B01848"/>
    <w:rsid w:val="00B01BCA"/>
    <w:rsid w:val="00B02278"/>
    <w:rsid w:val="00B02551"/>
    <w:rsid w:val="00B02647"/>
    <w:rsid w:val="00B02ABA"/>
    <w:rsid w:val="00B02DB6"/>
    <w:rsid w:val="00B0342C"/>
    <w:rsid w:val="00B036D5"/>
    <w:rsid w:val="00B0419F"/>
    <w:rsid w:val="00B0438B"/>
    <w:rsid w:val="00B0472C"/>
    <w:rsid w:val="00B04CB1"/>
    <w:rsid w:val="00B04CEA"/>
    <w:rsid w:val="00B04F9A"/>
    <w:rsid w:val="00B057BF"/>
    <w:rsid w:val="00B05C3C"/>
    <w:rsid w:val="00B05E16"/>
    <w:rsid w:val="00B071C4"/>
    <w:rsid w:val="00B078CF"/>
    <w:rsid w:val="00B07AF4"/>
    <w:rsid w:val="00B07B41"/>
    <w:rsid w:val="00B07D64"/>
    <w:rsid w:val="00B07F15"/>
    <w:rsid w:val="00B10EF2"/>
    <w:rsid w:val="00B11494"/>
    <w:rsid w:val="00B115F4"/>
    <w:rsid w:val="00B11987"/>
    <w:rsid w:val="00B133B9"/>
    <w:rsid w:val="00B13567"/>
    <w:rsid w:val="00B14552"/>
    <w:rsid w:val="00B148E0"/>
    <w:rsid w:val="00B14E47"/>
    <w:rsid w:val="00B153BE"/>
    <w:rsid w:val="00B158DD"/>
    <w:rsid w:val="00B159FF"/>
    <w:rsid w:val="00B163D2"/>
    <w:rsid w:val="00B16AB0"/>
    <w:rsid w:val="00B16B12"/>
    <w:rsid w:val="00B1720E"/>
    <w:rsid w:val="00B17369"/>
    <w:rsid w:val="00B17520"/>
    <w:rsid w:val="00B1763B"/>
    <w:rsid w:val="00B176EB"/>
    <w:rsid w:val="00B1775A"/>
    <w:rsid w:val="00B17A1C"/>
    <w:rsid w:val="00B17AC2"/>
    <w:rsid w:val="00B17BD1"/>
    <w:rsid w:val="00B209C6"/>
    <w:rsid w:val="00B20A12"/>
    <w:rsid w:val="00B20B16"/>
    <w:rsid w:val="00B20BBA"/>
    <w:rsid w:val="00B210E9"/>
    <w:rsid w:val="00B211E5"/>
    <w:rsid w:val="00B2134E"/>
    <w:rsid w:val="00B2137B"/>
    <w:rsid w:val="00B213B5"/>
    <w:rsid w:val="00B21589"/>
    <w:rsid w:val="00B215D0"/>
    <w:rsid w:val="00B21D51"/>
    <w:rsid w:val="00B21EAD"/>
    <w:rsid w:val="00B22611"/>
    <w:rsid w:val="00B22F9C"/>
    <w:rsid w:val="00B23203"/>
    <w:rsid w:val="00B23A33"/>
    <w:rsid w:val="00B23D99"/>
    <w:rsid w:val="00B240E2"/>
    <w:rsid w:val="00B24AE9"/>
    <w:rsid w:val="00B24BCE"/>
    <w:rsid w:val="00B25163"/>
    <w:rsid w:val="00B25342"/>
    <w:rsid w:val="00B257CF"/>
    <w:rsid w:val="00B268DA"/>
    <w:rsid w:val="00B26A2D"/>
    <w:rsid w:val="00B26FCE"/>
    <w:rsid w:val="00B27221"/>
    <w:rsid w:val="00B2746E"/>
    <w:rsid w:val="00B274FD"/>
    <w:rsid w:val="00B30218"/>
    <w:rsid w:val="00B302CA"/>
    <w:rsid w:val="00B30755"/>
    <w:rsid w:val="00B3080E"/>
    <w:rsid w:val="00B3096F"/>
    <w:rsid w:val="00B3119D"/>
    <w:rsid w:val="00B313F1"/>
    <w:rsid w:val="00B317ED"/>
    <w:rsid w:val="00B319FE"/>
    <w:rsid w:val="00B31AD8"/>
    <w:rsid w:val="00B323DB"/>
    <w:rsid w:val="00B3266F"/>
    <w:rsid w:val="00B32747"/>
    <w:rsid w:val="00B32891"/>
    <w:rsid w:val="00B32CAD"/>
    <w:rsid w:val="00B32E37"/>
    <w:rsid w:val="00B3308C"/>
    <w:rsid w:val="00B337BA"/>
    <w:rsid w:val="00B342DB"/>
    <w:rsid w:val="00B3455B"/>
    <w:rsid w:val="00B345C7"/>
    <w:rsid w:val="00B3463F"/>
    <w:rsid w:val="00B34655"/>
    <w:rsid w:val="00B3478D"/>
    <w:rsid w:val="00B356B7"/>
    <w:rsid w:val="00B35C2E"/>
    <w:rsid w:val="00B35E4E"/>
    <w:rsid w:val="00B36F36"/>
    <w:rsid w:val="00B36F69"/>
    <w:rsid w:val="00B373C3"/>
    <w:rsid w:val="00B37598"/>
    <w:rsid w:val="00B37687"/>
    <w:rsid w:val="00B37BAC"/>
    <w:rsid w:val="00B37BE8"/>
    <w:rsid w:val="00B40903"/>
    <w:rsid w:val="00B41123"/>
    <w:rsid w:val="00B41B23"/>
    <w:rsid w:val="00B41BF7"/>
    <w:rsid w:val="00B41DE9"/>
    <w:rsid w:val="00B42178"/>
    <w:rsid w:val="00B429FB"/>
    <w:rsid w:val="00B42D85"/>
    <w:rsid w:val="00B434E4"/>
    <w:rsid w:val="00B437F3"/>
    <w:rsid w:val="00B43848"/>
    <w:rsid w:val="00B4410E"/>
    <w:rsid w:val="00B4418B"/>
    <w:rsid w:val="00B44891"/>
    <w:rsid w:val="00B45047"/>
    <w:rsid w:val="00B45543"/>
    <w:rsid w:val="00B459AC"/>
    <w:rsid w:val="00B45AD4"/>
    <w:rsid w:val="00B45F11"/>
    <w:rsid w:val="00B46242"/>
    <w:rsid w:val="00B464B0"/>
    <w:rsid w:val="00B46B39"/>
    <w:rsid w:val="00B46F76"/>
    <w:rsid w:val="00B47264"/>
    <w:rsid w:val="00B47273"/>
    <w:rsid w:val="00B47340"/>
    <w:rsid w:val="00B47815"/>
    <w:rsid w:val="00B47BA2"/>
    <w:rsid w:val="00B50233"/>
    <w:rsid w:val="00B50524"/>
    <w:rsid w:val="00B50544"/>
    <w:rsid w:val="00B505F7"/>
    <w:rsid w:val="00B5071F"/>
    <w:rsid w:val="00B50FD6"/>
    <w:rsid w:val="00B5146C"/>
    <w:rsid w:val="00B518A0"/>
    <w:rsid w:val="00B51C1D"/>
    <w:rsid w:val="00B5245F"/>
    <w:rsid w:val="00B526FD"/>
    <w:rsid w:val="00B52AB2"/>
    <w:rsid w:val="00B52C9D"/>
    <w:rsid w:val="00B54002"/>
    <w:rsid w:val="00B5408F"/>
    <w:rsid w:val="00B540AF"/>
    <w:rsid w:val="00B542F3"/>
    <w:rsid w:val="00B5465D"/>
    <w:rsid w:val="00B54801"/>
    <w:rsid w:val="00B54847"/>
    <w:rsid w:val="00B54A1C"/>
    <w:rsid w:val="00B54C54"/>
    <w:rsid w:val="00B5546B"/>
    <w:rsid w:val="00B557A1"/>
    <w:rsid w:val="00B557FE"/>
    <w:rsid w:val="00B55877"/>
    <w:rsid w:val="00B55BBF"/>
    <w:rsid w:val="00B55D0F"/>
    <w:rsid w:val="00B56060"/>
    <w:rsid w:val="00B567EA"/>
    <w:rsid w:val="00B56C49"/>
    <w:rsid w:val="00B56DF4"/>
    <w:rsid w:val="00B56F46"/>
    <w:rsid w:val="00B56FCA"/>
    <w:rsid w:val="00B56FDE"/>
    <w:rsid w:val="00B5721A"/>
    <w:rsid w:val="00B5762F"/>
    <w:rsid w:val="00B57800"/>
    <w:rsid w:val="00B60549"/>
    <w:rsid w:val="00B60550"/>
    <w:rsid w:val="00B612F2"/>
    <w:rsid w:val="00B6131D"/>
    <w:rsid w:val="00B616D6"/>
    <w:rsid w:val="00B61B3C"/>
    <w:rsid w:val="00B61F02"/>
    <w:rsid w:val="00B6213C"/>
    <w:rsid w:val="00B622A4"/>
    <w:rsid w:val="00B62900"/>
    <w:rsid w:val="00B6297B"/>
    <w:rsid w:val="00B62B4C"/>
    <w:rsid w:val="00B62B5E"/>
    <w:rsid w:val="00B62EFB"/>
    <w:rsid w:val="00B63001"/>
    <w:rsid w:val="00B635C3"/>
    <w:rsid w:val="00B63FAC"/>
    <w:rsid w:val="00B6404A"/>
    <w:rsid w:val="00B64485"/>
    <w:rsid w:val="00B649DB"/>
    <w:rsid w:val="00B65536"/>
    <w:rsid w:val="00B655E1"/>
    <w:rsid w:val="00B65CEB"/>
    <w:rsid w:val="00B65E1C"/>
    <w:rsid w:val="00B66078"/>
    <w:rsid w:val="00B66611"/>
    <w:rsid w:val="00B666F4"/>
    <w:rsid w:val="00B66971"/>
    <w:rsid w:val="00B66B17"/>
    <w:rsid w:val="00B66E81"/>
    <w:rsid w:val="00B66EC7"/>
    <w:rsid w:val="00B70832"/>
    <w:rsid w:val="00B708F3"/>
    <w:rsid w:val="00B70BCE"/>
    <w:rsid w:val="00B70F41"/>
    <w:rsid w:val="00B70FDA"/>
    <w:rsid w:val="00B71454"/>
    <w:rsid w:val="00B717BE"/>
    <w:rsid w:val="00B717DF"/>
    <w:rsid w:val="00B730F4"/>
    <w:rsid w:val="00B7382C"/>
    <w:rsid w:val="00B739E4"/>
    <w:rsid w:val="00B73A1A"/>
    <w:rsid w:val="00B746C0"/>
    <w:rsid w:val="00B74709"/>
    <w:rsid w:val="00B7491C"/>
    <w:rsid w:val="00B74B57"/>
    <w:rsid w:val="00B74D3C"/>
    <w:rsid w:val="00B74EAA"/>
    <w:rsid w:val="00B75015"/>
    <w:rsid w:val="00B7525A"/>
    <w:rsid w:val="00B752A8"/>
    <w:rsid w:val="00B75483"/>
    <w:rsid w:val="00B7572C"/>
    <w:rsid w:val="00B75839"/>
    <w:rsid w:val="00B758EB"/>
    <w:rsid w:val="00B75944"/>
    <w:rsid w:val="00B76164"/>
    <w:rsid w:val="00B762DD"/>
    <w:rsid w:val="00B76AD3"/>
    <w:rsid w:val="00B77468"/>
    <w:rsid w:val="00B774C1"/>
    <w:rsid w:val="00B77575"/>
    <w:rsid w:val="00B776B3"/>
    <w:rsid w:val="00B77873"/>
    <w:rsid w:val="00B812EC"/>
    <w:rsid w:val="00B82489"/>
    <w:rsid w:val="00B8252F"/>
    <w:rsid w:val="00B8266D"/>
    <w:rsid w:val="00B827F0"/>
    <w:rsid w:val="00B82BD4"/>
    <w:rsid w:val="00B8302A"/>
    <w:rsid w:val="00B83051"/>
    <w:rsid w:val="00B83286"/>
    <w:rsid w:val="00B83907"/>
    <w:rsid w:val="00B83A03"/>
    <w:rsid w:val="00B83A7B"/>
    <w:rsid w:val="00B83A80"/>
    <w:rsid w:val="00B83E95"/>
    <w:rsid w:val="00B83F97"/>
    <w:rsid w:val="00B8440E"/>
    <w:rsid w:val="00B84A3E"/>
    <w:rsid w:val="00B8555C"/>
    <w:rsid w:val="00B8571F"/>
    <w:rsid w:val="00B857D3"/>
    <w:rsid w:val="00B86A7F"/>
    <w:rsid w:val="00B86AA7"/>
    <w:rsid w:val="00B86B8F"/>
    <w:rsid w:val="00B86FBC"/>
    <w:rsid w:val="00B87154"/>
    <w:rsid w:val="00B871A9"/>
    <w:rsid w:val="00B87430"/>
    <w:rsid w:val="00B87639"/>
    <w:rsid w:val="00B87FDD"/>
    <w:rsid w:val="00B900DB"/>
    <w:rsid w:val="00B90295"/>
    <w:rsid w:val="00B909B2"/>
    <w:rsid w:val="00B90C62"/>
    <w:rsid w:val="00B90ECD"/>
    <w:rsid w:val="00B91193"/>
    <w:rsid w:val="00B91539"/>
    <w:rsid w:val="00B91794"/>
    <w:rsid w:val="00B919A3"/>
    <w:rsid w:val="00B91B09"/>
    <w:rsid w:val="00B91BD4"/>
    <w:rsid w:val="00B91E01"/>
    <w:rsid w:val="00B91E40"/>
    <w:rsid w:val="00B9249D"/>
    <w:rsid w:val="00B92D9D"/>
    <w:rsid w:val="00B92EC2"/>
    <w:rsid w:val="00B93309"/>
    <w:rsid w:val="00B93599"/>
    <w:rsid w:val="00B93933"/>
    <w:rsid w:val="00B93B25"/>
    <w:rsid w:val="00B941B9"/>
    <w:rsid w:val="00B94238"/>
    <w:rsid w:val="00B9469B"/>
    <w:rsid w:val="00B9477C"/>
    <w:rsid w:val="00B94966"/>
    <w:rsid w:val="00B94C40"/>
    <w:rsid w:val="00B95170"/>
    <w:rsid w:val="00B953C7"/>
    <w:rsid w:val="00B954AC"/>
    <w:rsid w:val="00B9567C"/>
    <w:rsid w:val="00B95727"/>
    <w:rsid w:val="00B9593D"/>
    <w:rsid w:val="00B9595E"/>
    <w:rsid w:val="00B95B9E"/>
    <w:rsid w:val="00B96157"/>
    <w:rsid w:val="00B961E3"/>
    <w:rsid w:val="00B963C7"/>
    <w:rsid w:val="00B967BB"/>
    <w:rsid w:val="00B96A41"/>
    <w:rsid w:val="00B96CEF"/>
    <w:rsid w:val="00B96F09"/>
    <w:rsid w:val="00B972D6"/>
    <w:rsid w:val="00B9749E"/>
    <w:rsid w:val="00B9753A"/>
    <w:rsid w:val="00B976F3"/>
    <w:rsid w:val="00B9789A"/>
    <w:rsid w:val="00B97D32"/>
    <w:rsid w:val="00B97D91"/>
    <w:rsid w:val="00B97EBC"/>
    <w:rsid w:val="00BA028F"/>
    <w:rsid w:val="00BA0896"/>
    <w:rsid w:val="00BA09A7"/>
    <w:rsid w:val="00BA1BCD"/>
    <w:rsid w:val="00BA25F0"/>
    <w:rsid w:val="00BA2D23"/>
    <w:rsid w:val="00BA35FF"/>
    <w:rsid w:val="00BA36F5"/>
    <w:rsid w:val="00BA3C43"/>
    <w:rsid w:val="00BA4437"/>
    <w:rsid w:val="00BA4EC1"/>
    <w:rsid w:val="00BA5828"/>
    <w:rsid w:val="00BA5A0D"/>
    <w:rsid w:val="00BA5C19"/>
    <w:rsid w:val="00BA5D33"/>
    <w:rsid w:val="00BA5FDA"/>
    <w:rsid w:val="00BA620F"/>
    <w:rsid w:val="00BA66A9"/>
    <w:rsid w:val="00BA6AED"/>
    <w:rsid w:val="00BA6DAB"/>
    <w:rsid w:val="00BA6DF9"/>
    <w:rsid w:val="00BA7205"/>
    <w:rsid w:val="00BA7208"/>
    <w:rsid w:val="00BA7D91"/>
    <w:rsid w:val="00BA7E5B"/>
    <w:rsid w:val="00BB0208"/>
    <w:rsid w:val="00BB09C2"/>
    <w:rsid w:val="00BB147C"/>
    <w:rsid w:val="00BB1679"/>
    <w:rsid w:val="00BB1CEF"/>
    <w:rsid w:val="00BB1D6E"/>
    <w:rsid w:val="00BB1DCE"/>
    <w:rsid w:val="00BB2833"/>
    <w:rsid w:val="00BB284D"/>
    <w:rsid w:val="00BB33CA"/>
    <w:rsid w:val="00BB3AB7"/>
    <w:rsid w:val="00BB3DB1"/>
    <w:rsid w:val="00BB4418"/>
    <w:rsid w:val="00BB4C5B"/>
    <w:rsid w:val="00BB511D"/>
    <w:rsid w:val="00BB5140"/>
    <w:rsid w:val="00BB5420"/>
    <w:rsid w:val="00BB5453"/>
    <w:rsid w:val="00BB57CB"/>
    <w:rsid w:val="00BB59E6"/>
    <w:rsid w:val="00BB5A6D"/>
    <w:rsid w:val="00BB5F01"/>
    <w:rsid w:val="00BB637A"/>
    <w:rsid w:val="00BB637E"/>
    <w:rsid w:val="00BB63F7"/>
    <w:rsid w:val="00BB68C0"/>
    <w:rsid w:val="00BB6ABA"/>
    <w:rsid w:val="00BB6F4E"/>
    <w:rsid w:val="00BB7240"/>
    <w:rsid w:val="00BB7459"/>
    <w:rsid w:val="00BB7478"/>
    <w:rsid w:val="00BB7685"/>
    <w:rsid w:val="00BB7A3C"/>
    <w:rsid w:val="00BC06BA"/>
    <w:rsid w:val="00BC152E"/>
    <w:rsid w:val="00BC20FF"/>
    <w:rsid w:val="00BC2AE9"/>
    <w:rsid w:val="00BC2B61"/>
    <w:rsid w:val="00BC2C06"/>
    <w:rsid w:val="00BC2E5E"/>
    <w:rsid w:val="00BC3117"/>
    <w:rsid w:val="00BC33F2"/>
    <w:rsid w:val="00BC37D9"/>
    <w:rsid w:val="00BC3898"/>
    <w:rsid w:val="00BC3A97"/>
    <w:rsid w:val="00BC3F35"/>
    <w:rsid w:val="00BC4382"/>
    <w:rsid w:val="00BC4967"/>
    <w:rsid w:val="00BC5110"/>
    <w:rsid w:val="00BC52CA"/>
    <w:rsid w:val="00BC537C"/>
    <w:rsid w:val="00BC5763"/>
    <w:rsid w:val="00BC5C77"/>
    <w:rsid w:val="00BC5EB2"/>
    <w:rsid w:val="00BC5FF1"/>
    <w:rsid w:val="00BC6573"/>
    <w:rsid w:val="00BC670C"/>
    <w:rsid w:val="00BC676F"/>
    <w:rsid w:val="00BC6911"/>
    <w:rsid w:val="00BC6B25"/>
    <w:rsid w:val="00BC6B95"/>
    <w:rsid w:val="00BC6BA9"/>
    <w:rsid w:val="00BC7353"/>
    <w:rsid w:val="00BC7458"/>
    <w:rsid w:val="00BC7B32"/>
    <w:rsid w:val="00BD0504"/>
    <w:rsid w:val="00BD0B6C"/>
    <w:rsid w:val="00BD1511"/>
    <w:rsid w:val="00BD1513"/>
    <w:rsid w:val="00BD151B"/>
    <w:rsid w:val="00BD1825"/>
    <w:rsid w:val="00BD1B37"/>
    <w:rsid w:val="00BD226A"/>
    <w:rsid w:val="00BD253D"/>
    <w:rsid w:val="00BD257F"/>
    <w:rsid w:val="00BD289F"/>
    <w:rsid w:val="00BD33E0"/>
    <w:rsid w:val="00BD3934"/>
    <w:rsid w:val="00BD3C47"/>
    <w:rsid w:val="00BD3EC3"/>
    <w:rsid w:val="00BD4338"/>
    <w:rsid w:val="00BD4C1F"/>
    <w:rsid w:val="00BD4F00"/>
    <w:rsid w:val="00BD5E27"/>
    <w:rsid w:val="00BD5E28"/>
    <w:rsid w:val="00BD5E6C"/>
    <w:rsid w:val="00BD618D"/>
    <w:rsid w:val="00BD730C"/>
    <w:rsid w:val="00BD77F6"/>
    <w:rsid w:val="00BD7E6B"/>
    <w:rsid w:val="00BE021A"/>
    <w:rsid w:val="00BE027E"/>
    <w:rsid w:val="00BE03F9"/>
    <w:rsid w:val="00BE06BB"/>
    <w:rsid w:val="00BE0740"/>
    <w:rsid w:val="00BE0E8C"/>
    <w:rsid w:val="00BE0FDC"/>
    <w:rsid w:val="00BE1064"/>
    <w:rsid w:val="00BE19AB"/>
    <w:rsid w:val="00BE1B0A"/>
    <w:rsid w:val="00BE1C58"/>
    <w:rsid w:val="00BE1C64"/>
    <w:rsid w:val="00BE1C77"/>
    <w:rsid w:val="00BE2340"/>
    <w:rsid w:val="00BE25B0"/>
    <w:rsid w:val="00BE26D7"/>
    <w:rsid w:val="00BE274D"/>
    <w:rsid w:val="00BE2882"/>
    <w:rsid w:val="00BE3240"/>
    <w:rsid w:val="00BE3256"/>
    <w:rsid w:val="00BE34AB"/>
    <w:rsid w:val="00BE358F"/>
    <w:rsid w:val="00BE35A1"/>
    <w:rsid w:val="00BE3823"/>
    <w:rsid w:val="00BE499B"/>
    <w:rsid w:val="00BE4CC8"/>
    <w:rsid w:val="00BE4E92"/>
    <w:rsid w:val="00BE516E"/>
    <w:rsid w:val="00BE56B5"/>
    <w:rsid w:val="00BE5CBC"/>
    <w:rsid w:val="00BE6140"/>
    <w:rsid w:val="00BE65D4"/>
    <w:rsid w:val="00BE665B"/>
    <w:rsid w:val="00BE666B"/>
    <w:rsid w:val="00BE668D"/>
    <w:rsid w:val="00BE6898"/>
    <w:rsid w:val="00BE6997"/>
    <w:rsid w:val="00BE6BDE"/>
    <w:rsid w:val="00BE6F17"/>
    <w:rsid w:val="00BE7A08"/>
    <w:rsid w:val="00BE7A2F"/>
    <w:rsid w:val="00BE7B69"/>
    <w:rsid w:val="00BE7DCF"/>
    <w:rsid w:val="00BF012B"/>
    <w:rsid w:val="00BF0162"/>
    <w:rsid w:val="00BF0246"/>
    <w:rsid w:val="00BF084A"/>
    <w:rsid w:val="00BF0AA9"/>
    <w:rsid w:val="00BF1C13"/>
    <w:rsid w:val="00BF1EC1"/>
    <w:rsid w:val="00BF267F"/>
    <w:rsid w:val="00BF278E"/>
    <w:rsid w:val="00BF27BA"/>
    <w:rsid w:val="00BF2C15"/>
    <w:rsid w:val="00BF2CD9"/>
    <w:rsid w:val="00BF2DD8"/>
    <w:rsid w:val="00BF394B"/>
    <w:rsid w:val="00BF4A18"/>
    <w:rsid w:val="00BF52B5"/>
    <w:rsid w:val="00BF543E"/>
    <w:rsid w:val="00BF5516"/>
    <w:rsid w:val="00BF5D3B"/>
    <w:rsid w:val="00BF628E"/>
    <w:rsid w:val="00BF6328"/>
    <w:rsid w:val="00BF65C6"/>
    <w:rsid w:val="00BF66EE"/>
    <w:rsid w:val="00BF6831"/>
    <w:rsid w:val="00BF6B20"/>
    <w:rsid w:val="00BF7206"/>
    <w:rsid w:val="00BF751F"/>
    <w:rsid w:val="00BF7554"/>
    <w:rsid w:val="00BF7577"/>
    <w:rsid w:val="00BF79DC"/>
    <w:rsid w:val="00BF7A8B"/>
    <w:rsid w:val="00BF7AB5"/>
    <w:rsid w:val="00BF7B49"/>
    <w:rsid w:val="00BF7C03"/>
    <w:rsid w:val="00BF7CA8"/>
    <w:rsid w:val="00C0028D"/>
    <w:rsid w:val="00C003B5"/>
    <w:rsid w:val="00C00422"/>
    <w:rsid w:val="00C009FE"/>
    <w:rsid w:val="00C00A7B"/>
    <w:rsid w:val="00C00D7A"/>
    <w:rsid w:val="00C00E7A"/>
    <w:rsid w:val="00C00FD7"/>
    <w:rsid w:val="00C0182D"/>
    <w:rsid w:val="00C0186F"/>
    <w:rsid w:val="00C01CC5"/>
    <w:rsid w:val="00C01EC6"/>
    <w:rsid w:val="00C0221C"/>
    <w:rsid w:val="00C02368"/>
    <w:rsid w:val="00C024D5"/>
    <w:rsid w:val="00C02B8B"/>
    <w:rsid w:val="00C02D10"/>
    <w:rsid w:val="00C02D43"/>
    <w:rsid w:val="00C02E58"/>
    <w:rsid w:val="00C03540"/>
    <w:rsid w:val="00C03A78"/>
    <w:rsid w:val="00C03FED"/>
    <w:rsid w:val="00C04027"/>
    <w:rsid w:val="00C04497"/>
    <w:rsid w:val="00C0481C"/>
    <w:rsid w:val="00C04F42"/>
    <w:rsid w:val="00C04FE5"/>
    <w:rsid w:val="00C04FEB"/>
    <w:rsid w:val="00C05117"/>
    <w:rsid w:val="00C054FA"/>
    <w:rsid w:val="00C0553A"/>
    <w:rsid w:val="00C05A2C"/>
    <w:rsid w:val="00C06133"/>
    <w:rsid w:val="00C06754"/>
    <w:rsid w:val="00C06C20"/>
    <w:rsid w:val="00C06F26"/>
    <w:rsid w:val="00C06FA9"/>
    <w:rsid w:val="00C07444"/>
    <w:rsid w:val="00C078EE"/>
    <w:rsid w:val="00C07D92"/>
    <w:rsid w:val="00C103DD"/>
    <w:rsid w:val="00C106C8"/>
    <w:rsid w:val="00C10E94"/>
    <w:rsid w:val="00C11361"/>
    <w:rsid w:val="00C114D6"/>
    <w:rsid w:val="00C11B5F"/>
    <w:rsid w:val="00C11DE3"/>
    <w:rsid w:val="00C12237"/>
    <w:rsid w:val="00C1263F"/>
    <w:rsid w:val="00C126E3"/>
    <w:rsid w:val="00C12D54"/>
    <w:rsid w:val="00C12F4F"/>
    <w:rsid w:val="00C137F4"/>
    <w:rsid w:val="00C13913"/>
    <w:rsid w:val="00C139B4"/>
    <w:rsid w:val="00C13B38"/>
    <w:rsid w:val="00C13E0B"/>
    <w:rsid w:val="00C13FA0"/>
    <w:rsid w:val="00C1421A"/>
    <w:rsid w:val="00C142F0"/>
    <w:rsid w:val="00C14985"/>
    <w:rsid w:val="00C1508E"/>
    <w:rsid w:val="00C1514C"/>
    <w:rsid w:val="00C152BC"/>
    <w:rsid w:val="00C157DB"/>
    <w:rsid w:val="00C1588B"/>
    <w:rsid w:val="00C15912"/>
    <w:rsid w:val="00C15B23"/>
    <w:rsid w:val="00C15BAE"/>
    <w:rsid w:val="00C1617F"/>
    <w:rsid w:val="00C162D5"/>
    <w:rsid w:val="00C16413"/>
    <w:rsid w:val="00C16597"/>
    <w:rsid w:val="00C167F7"/>
    <w:rsid w:val="00C168F8"/>
    <w:rsid w:val="00C1698A"/>
    <w:rsid w:val="00C169BE"/>
    <w:rsid w:val="00C16C35"/>
    <w:rsid w:val="00C17430"/>
    <w:rsid w:val="00C20300"/>
    <w:rsid w:val="00C20956"/>
    <w:rsid w:val="00C20BFA"/>
    <w:rsid w:val="00C21031"/>
    <w:rsid w:val="00C21065"/>
    <w:rsid w:val="00C212E3"/>
    <w:rsid w:val="00C21AB5"/>
    <w:rsid w:val="00C21EC6"/>
    <w:rsid w:val="00C220D9"/>
    <w:rsid w:val="00C2250C"/>
    <w:rsid w:val="00C225E6"/>
    <w:rsid w:val="00C233BD"/>
    <w:rsid w:val="00C2369B"/>
    <w:rsid w:val="00C2381D"/>
    <w:rsid w:val="00C23B38"/>
    <w:rsid w:val="00C23E37"/>
    <w:rsid w:val="00C23FC6"/>
    <w:rsid w:val="00C246C5"/>
    <w:rsid w:val="00C253A2"/>
    <w:rsid w:val="00C25A06"/>
    <w:rsid w:val="00C260DD"/>
    <w:rsid w:val="00C2639C"/>
    <w:rsid w:val="00C266A5"/>
    <w:rsid w:val="00C26A69"/>
    <w:rsid w:val="00C26FC3"/>
    <w:rsid w:val="00C2730C"/>
    <w:rsid w:val="00C27728"/>
    <w:rsid w:val="00C27808"/>
    <w:rsid w:val="00C279D9"/>
    <w:rsid w:val="00C27BF9"/>
    <w:rsid w:val="00C27C7A"/>
    <w:rsid w:val="00C27F51"/>
    <w:rsid w:val="00C311DB"/>
    <w:rsid w:val="00C3123E"/>
    <w:rsid w:val="00C312DE"/>
    <w:rsid w:val="00C3141D"/>
    <w:rsid w:val="00C3190B"/>
    <w:rsid w:val="00C321EC"/>
    <w:rsid w:val="00C3267B"/>
    <w:rsid w:val="00C32E74"/>
    <w:rsid w:val="00C33A25"/>
    <w:rsid w:val="00C342FF"/>
    <w:rsid w:val="00C3444F"/>
    <w:rsid w:val="00C346F8"/>
    <w:rsid w:val="00C348BD"/>
    <w:rsid w:val="00C348F5"/>
    <w:rsid w:val="00C358ED"/>
    <w:rsid w:val="00C35C3F"/>
    <w:rsid w:val="00C362D5"/>
    <w:rsid w:val="00C363DA"/>
    <w:rsid w:val="00C3680A"/>
    <w:rsid w:val="00C36A90"/>
    <w:rsid w:val="00C36F0E"/>
    <w:rsid w:val="00C374DF"/>
    <w:rsid w:val="00C377C5"/>
    <w:rsid w:val="00C37837"/>
    <w:rsid w:val="00C37B64"/>
    <w:rsid w:val="00C403F0"/>
    <w:rsid w:val="00C40B83"/>
    <w:rsid w:val="00C4111B"/>
    <w:rsid w:val="00C41309"/>
    <w:rsid w:val="00C417DD"/>
    <w:rsid w:val="00C41EE9"/>
    <w:rsid w:val="00C42003"/>
    <w:rsid w:val="00C4201D"/>
    <w:rsid w:val="00C42825"/>
    <w:rsid w:val="00C42CAA"/>
    <w:rsid w:val="00C43146"/>
    <w:rsid w:val="00C4351F"/>
    <w:rsid w:val="00C4385E"/>
    <w:rsid w:val="00C43C22"/>
    <w:rsid w:val="00C43D5B"/>
    <w:rsid w:val="00C43EA7"/>
    <w:rsid w:val="00C44354"/>
    <w:rsid w:val="00C44557"/>
    <w:rsid w:val="00C44640"/>
    <w:rsid w:val="00C4487E"/>
    <w:rsid w:val="00C44F62"/>
    <w:rsid w:val="00C45212"/>
    <w:rsid w:val="00C4550A"/>
    <w:rsid w:val="00C455DA"/>
    <w:rsid w:val="00C45A85"/>
    <w:rsid w:val="00C45F2E"/>
    <w:rsid w:val="00C46211"/>
    <w:rsid w:val="00C46283"/>
    <w:rsid w:val="00C462A0"/>
    <w:rsid w:val="00C463BE"/>
    <w:rsid w:val="00C468F8"/>
    <w:rsid w:val="00C46EB0"/>
    <w:rsid w:val="00C474FF"/>
    <w:rsid w:val="00C4759A"/>
    <w:rsid w:val="00C4762B"/>
    <w:rsid w:val="00C47676"/>
    <w:rsid w:val="00C476CA"/>
    <w:rsid w:val="00C508C5"/>
    <w:rsid w:val="00C50E1A"/>
    <w:rsid w:val="00C515AA"/>
    <w:rsid w:val="00C51796"/>
    <w:rsid w:val="00C518FC"/>
    <w:rsid w:val="00C51A9F"/>
    <w:rsid w:val="00C51C79"/>
    <w:rsid w:val="00C51D5C"/>
    <w:rsid w:val="00C524E0"/>
    <w:rsid w:val="00C52A42"/>
    <w:rsid w:val="00C52C61"/>
    <w:rsid w:val="00C530BD"/>
    <w:rsid w:val="00C53235"/>
    <w:rsid w:val="00C5342C"/>
    <w:rsid w:val="00C537F3"/>
    <w:rsid w:val="00C54493"/>
    <w:rsid w:val="00C545A4"/>
    <w:rsid w:val="00C548AA"/>
    <w:rsid w:val="00C54A26"/>
    <w:rsid w:val="00C54B07"/>
    <w:rsid w:val="00C55725"/>
    <w:rsid w:val="00C557C4"/>
    <w:rsid w:val="00C55F86"/>
    <w:rsid w:val="00C57199"/>
    <w:rsid w:val="00C5746F"/>
    <w:rsid w:val="00C57902"/>
    <w:rsid w:val="00C57B02"/>
    <w:rsid w:val="00C57B6C"/>
    <w:rsid w:val="00C57C10"/>
    <w:rsid w:val="00C57D61"/>
    <w:rsid w:val="00C60020"/>
    <w:rsid w:val="00C60CE2"/>
    <w:rsid w:val="00C612F2"/>
    <w:rsid w:val="00C61618"/>
    <w:rsid w:val="00C61B4A"/>
    <w:rsid w:val="00C61C23"/>
    <w:rsid w:val="00C621C0"/>
    <w:rsid w:val="00C63AF4"/>
    <w:rsid w:val="00C64462"/>
    <w:rsid w:val="00C6497B"/>
    <w:rsid w:val="00C64AA1"/>
    <w:rsid w:val="00C6519D"/>
    <w:rsid w:val="00C65469"/>
    <w:rsid w:val="00C65917"/>
    <w:rsid w:val="00C663FD"/>
    <w:rsid w:val="00C664EB"/>
    <w:rsid w:val="00C6661E"/>
    <w:rsid w:val="00C66990"/>
    <w:rsid w:val="00C673F7"/>
    <w:rsid w:val="00C67506"/>
    <w:rsid w:val="00C67973"/>
    <w:rsid w:val="00C67EF6"/>
    <w:rsid w:val="00C700D4"/>
    <w:rsid w:val="00C700FB"/>
    <w:rsid w:val="00C70921"/>
    <w:rsid w:val="00C70A85"/>
    <w:rsid w:val="00C7117B"/>
    <w:rsid w:val="00C716A7"/>
    <w:rsid w:val="00C71A49"/>
    <w:rsid w:val="00C71DE4"/>
    <w:rsid w:val="00C71E68"/>
    <w:rsid w:val="00C71F2A"/>
    <w:rsid w:val="00C72E18"/>
    <w:rsid w:val="00C737E2"/>
    <w:rsid w:val="00C73C2B"/>
    <w:rsid w:val="00C73F41"/>
    <w:rsid w:val="00C741A5"/>
    <w:rsid w:val="00C7431D"/>
    <w:rsid w:val="00C744B5"/>
    <w:rsid w:val="00C744BC"/>
    <w:rsid w:val="00C74747"/>
    <w:rsid w:val="00C74BEA"/>
    <w:rsid w:val="00C74C96"/>
    <w:rsid w:val="00C74C9C"/>
    <w:rsid w:val="00C74F4C"/>
    <w:rsid w:val="00C7502E"/>
    <w:rsid w:val="00C7502F"/>
    <w:rsid w:val="00C75F6F"/>
    <w:rsid w:val="00C75FB9"/>
    <w:rsid w:val="00C7641B"/>
    <w:rsid w:val="00C76A8E"/>
    <w:rsid w:val="00C76AA6"/>
    <w:rsid w:val="00C76C25"/>
    <w:rsid w:val="00C76CDF"/>
    <w:rsid w:val="00C77051"/>
    <w:rsid w:val="00C772F4"/>
    <w:rsid w:val="00C77379"/>
    <w:rsid w:val="00C77919"/>
    <w:rsid w:val="00C77F5B"/>
    <w:rsid w:val="00C80B3B"/>
    <w:rsid w:val="00C825AF"/>
    <w:rsid w:val="00C82622"/>
    <w:rsid w:val="00C82630"/>
    <w:rsid w:val="00C826A6"/>
    <w:rsid w:val="00C82869"/>
    <w:rsid w:val="00C82D97"/>
    <w:rsid w:val="00C833BF"/>
    <w:rsid w:val="00C83688"/>
    <w:rsid w:val="00C84064"/>
    <w:rsid w:val="00C84665"/>
    <w:rsid w:val="00C8479A"/>
    <w:rsid w:val="00C84894"/>
    <w:rsid w:val="00C85005"/>
    <w:rsid w:val="00C853CC"/>
    <w:rsid w:val="00C854C5"/>
    <w:rsid w:val="00C85747"/>
    <w:rsid w:val="00C861E5"/>
    <w:rsid w:val="00C86C43"/>
    <w:rsid w:val="00C872E6"/>
    <w:rsid w:val="00C87657"/>
    <w:rsid w:val="00C87A0C"/>
    <w:rsid w:val="00C87C53"/>
    <w:rsid w:val="00C9032B"/>
    <w:rsid w:val="00C90873"/>
    <w:rsid w:val="00C91315"/>
    <w:rsid w:val="00C91BCB"/>
    <w:rsid w:val="00C92720"/>
    <w:rsid w:val="00C92999"/>
    <w:rsid w:val="00C92AB9"/>
    <w:rsid w:val="00C92F08"/>
    <w:rsid w:val="00C94889"/>
    <w:rsid w:val="00C94ED8"/>
    <w:rsid w:val="00C9509F"/>
    <w:rsid w:val="00C95623"/>
    <w:rsid w:val="00C95755"/>
    <w:rsid w:val="00C95A18"/>
    <w:rsid w:val="00C95E40"/>
    <w:rsid w:val="00C963CC"/>
    <w:rsid w:val="00C9647C"/>
    <w:rsid w:val="00C96984"/>
    <w:rsid w:val="00C96BC3"/>
    <w:rsid w:val="00C96BCD"/>
    <w:rsid w:val="00C97576"/>
    <w:rsid w:val="00C979EA"/>
    <w:rsid w:val="00C97CBA"/>
    <w:rsid w:val="00C97ECC"/>
    <w:rsid w:val="00CA08D4"/>
    <w:rsid w:val="00CA0BA4"/>
    <w:rsid w:val="00CA1467"/>
    <w:rsid w:val="00CA16D7"/>
    <w:rsid w:val="00CA184E"/>
    <w:rsid w:val="00CA18D5"/>
    <w:rsid w:val="00CA23C1"/>
    <w:rsid w:val="00CA28F7"/>
    <w:rsid w:val="00CA2C86"/>
    <w:rsid w:val="00CA2E37"/>
    <w:rsid w:val="00CA3284"/>
    <w:rsid w:val="00CA338C"/>
    <w:rsid w:val="00CA34A6"/>
    <w:rsid w:val="00CA34E4"/>
    <w:rsid w:val="00CA37BC"/>
    <w:rsid w:val="00CA3B4B"/>
    <w:rsid w:val="00CA3BED"/>
    <w:rsid w:val="00CA430F"/>
    <w:rsid w:val="00CA441A"/>
    <w:rsid w:val="00CA487F"/>
    <w:rsid w:val="00CA48BD"/>
    <w:rsid w:val="00CA5433"/>
    <w:rsid w:val="00CA565A"/>
    <w:rsid w:val="00CA58A3"/>
    <w:rsid w:val="00CA5DE5"/>
    <w:rsid w:val="00CA60A9"/>
    <w:rsid w:val="00CA60F3"/>
    <w:rsid w:val="00CA695E"/>
    <w:rsid w:val="00CA6B36"/>
    <w:rsid w:val="00CA6BF4"/>
    <w:rsid w:val="00CA6FA8"/>
    <w:rsid w:val="00CA70B3"/>
    <w:rsid w:val="00CA717C"/>
    <w:rsid w:val="00CA74D5"/>
    <w:rsid w:val="00CA7561"/>
    <w:rsid w:val="00CB0237"/>
    <w:rsid w:val="00CB04AF"/>
    <w:rsid w:val="00CB06A7"/>
    <w:rsid w:val="00CB0756"/>
    <w:rsid w:val="00CB093B"/>
    <w:rsid w:val="00CB0CA8"/>
    <w:rsid w:val="00CB0D03"/>
    <w:rsid w:val="00CB0E68"/>
    <w:rsid w:val="00CB10C5"/>
    <w:rsid w:val="00CB1C5C"/>
    <w:rsid w:val="00CB1D4B"/>
    <w:rsid w:val="00CB1E57"/>
    <w:rsid w:val="00CB245B"/>
    <w:rsid w:val="00CB2658"/>
    <w:rsid w:val="00CB276A"/>
    <w:rsid w:val="00CB2C81"/>
    <w:rsid w:val="00CB2D74"/>
    <w:rsid w:val="00CB2F87"/>
    <w:rsid w:val="00CB35DF"/>
    <w:rsid w:val="00CB364D"/>
    <w:rsid w:val="00CB38AB"/>
    <w:rsid w:val="00CB3A9D"/>
    <w:rsid w:val="00CB3FF3"/>
    <w:rsid w:val="00CB4041"/>
    <w:rsid w:val="00CB46AC"/>
    <w:rsid w:val="00CB4E63"/>
    <w:rsid w:val="00CB4F99"/>
    <w:rsid w:val="00CB5265"/>
    <w:rsid w:val="00CB526A"/>
    <w:rsid w:val="00CB5355"/>
    <w:rsid w:val="00CB57BD"/>
    <w:rsid w:val="00CB5B70"/>
    <w:rsid w:val="00CB5C65"/>
    <w:rsid w:val="00CB5EA8"/>
    <w:rsid w:val="00CB5EAF"/>
    <w:rsid w:val="00CB6DD2"/>
    <w:rsid w:val="00CB6F15"/>
    <w:rsid w:val="00CB71B8"/>
    <w:rsid w:val="00CB7365"/>
    <w:rsid w:val="00CB75E5"/>
    <w:rsid w:val="00CB77F7"/>
    <w:rsid w:val="00CB7C33"/>
    <w:rsid w:val="00CB7D28"/>
    <w:rsid w:val="00CB7EE0"/>
    <w:rsid w:val="00CC0B33"/>
    <w:rsid w:val="00CC0BB0"/>
    <w:rsid w:val="00CC0E38"/>
    <w:rsid w:val="00CC11B3"/>
    <w:rsid w:val="00CC18DD"/>
    <w:rsid w:val="00CC1953"/>
    <w:rsid w:val="00CC1B8A"/>
    <w:rsid w:val="00CC295C"/>
    <w:rsid w:val="00CC355F"/>
    <w:rsid w:val="00CC36CB"/>
    <w:rsid w:val="00CC3CFF"/>
    <w:rsid w:val="00CC4022"/>
    <w:rsid w:val="00CC43B3"/>
    <w:rsid w:val="00CC531C"/>
    <w:rsid w:val="00CC577B"/>
    <w:rsid w:val="00CC583B"/>
    <w:rsid w:val="00CC5A38"/>
    <w:rsid w:val="00CC5B39"/>
    <w:rsid w:val="00CC669D"/>
    <w:rsid w:val="00CC7058"/>
    <w:rsid w:val="00CC7A72"/>
    <w:rsid w:val="00CD01E7"/>
    <w:rsid w:val="00CD0C6A"/>
    <w:rsid w:val="00CD0CE5"/>
    <w:rsid w:val="00CD14EB"/>
    <w:rsid w:val="00CD1584"/>
    <w:rsid w:val="00CD171C"/>
    <w:rsid w:val="00CD1BE3"/>
    <w:rsid w:val="00CD2B55"/>
    <w:rsid w:val="00CD3015"/>
    <w:rsid w:val="00CD319C"/>
    <w:rsid w:val="00CD35D5"/>
    <w:rsid w:val="00CD3927"/>
    <w:rsid w:val="00CD4321"/>
    <w:rsid w:val="00CD450C"/>
    <w:rsid w:val="00CD48F0"/>
    <w:rsid w:val="00CD491D"/>
    <w:rsid w:val="00CD4BF7"/>
    <w:rsid w:val="00CD53DF"/>
    <w:rsid w:val="00CD5540"/>
    <w:rsid w:val="00CD57AA"/>
    <w:rsid w:val="00CD5CAF"/>
    <w:rsid w:val="00CD616B"/>
    <w:rsid w:val="00CD659F"/>
    <w:rsid w:val="00CD6737"/>
    <w:rsid w:val="00CD6854"/>
    <w:rsid w:val="00CD76DA"/>
    <w:rsid w:val="00CD79E9"/>
    <w:rsid w:val="00CD7BA6"/>
    <w:rsid w:val="00CE0323"/>
    <w:rsid w:val="00CE04B1"/>
    <w:rsid w:val="00CE0600"/>
    <w:rsid w:val="00CE0609"/>
    <w:rsid w:val="00CE063F"/>
    <w:rsid w:val="00CE08AC"/>
    <w:rsid w:val="00CE0AA3"/>
    <w:rsid w:val="00CE0CE9"/>
    <w:rsid w:val="00CE114D"/>
    <w:rsid w:val="00CE1265"/>
    <w:rsid w:val="00CE1B8B"/>
    <w:rsid w:val="00CE1E08"/>
    <w:rsid w:val="00CE223E"/>
    <w:rsid w:val="00CE279D"/>
    <w:rsid w:val="00CE31CC"/>
    <w:rsid w:val="00CE324A"/>
    <w:rsid w:val="00CE35EA"/>
    <w:rsid w:val="00CE4220"/>
    <w:rsid w:val="00CE45E0"/>
    <w:rsid w:val="00CE5109"/>
    <w:rsid w:val="00CE51E2"/>
    <w:rsid w:val="00CE5900"/>
    <w:rsid w:val="00CE5EE8"/>
    <w:rsid w:val="00CE6142"/>
    <w:rsid w:val="00CE617E"/>
    <w:rsid w:val="00CE648B"/>
    <w:rsid w:val="00CE6BF4"/>
    <w:rsid w:val="00CE7040"/>
    <w:rsid w:val="00CE71F6"/>
    <w:rsid w:val="00CE7242"/>
    <w:rsid w:val="00CE74FE"/>
    <w:rsid w:val="00CE7A26"/>
    <w:rsid w:val="00CE7A77"/>
    <w:rsid w:val="00CE7A84"/>
    <w:rsid w:val="00CE7F1B"/>
    <w:rsid w:val="00CF0174"/>
    <w:rsid w:val="00CF0196"/>
    <w:rsid w:val="00CF021C"/>
    <w:rsid w:val="00CF0B9D"/>
    <w:rsid w:val="00CF0BBB"/>
    <w:rsid w:val="00CF11BD"/>
    <w:rsid w:val="00CF13B3"/>
    <w:rsid w:val="00CF2949"/>
    <w:rsid w:val="00CF2BA7"/>
    <w:rsid w:val="00CF2FDA"/>
    <w:rsid w:val="00CF36E0"/>
    <w:rsid w:val="00CF3FB1"/>
    <w:rsid w:val="00CF4736"/>
    <w:rsid w:val="00CF4F9D"/>
    <w:rsid w:val="00CF503D"/>
    <w:rsid w:val="00CF533C"/>
    <w:rsid w:val="00CF5972"/>
    <w:rsid w:val="00CF5F68"/>
    <w:rsid w:val="00CF64C3"/>
    <w:rsid w:val="00CF66D3"/>
    <w:rsid w:val="00CF6B70"/>
    <w:rsid w:val="00CF7518"/>
    <w:rsid w:val="00CF7747"/>
    <w:rsid w:val="00D000C5"/>
    <w:rsid w:val="00D00107"/>
    <w:rsid w:val="00D00618"/>
    <w:rsid w:val="00D00A68"/>
    <w:rsid w:val="00D00AD0"/>
    <w:rsid w:val="00D01009"/>
    <w:rsid w:val="00D0106A"/>
    <w:rsid w:val="00D01BA4"/>
    <w:rsid w:val="00D01C00"/>
    <w:rsid w:val="00D02360"/>
    <w:rsid w:val="00D0259A"/>
    <w:rsid w:val="00D025FF"/>
    <w:rsid w:val="00D02D57"/>
    <w:rsid w:val="00D02E23"/>
    <w:rsid w:val="00D02E53"/>
    <w:rsid w:val="00D031FD"/>
    <w:rsid w:val="00D03C8C"/>
    <w:rsid w:val="00D03E50"/>
    <w:rsid w:val="00D03FB0"/>
    <w:rsid w:val="00D04380"/>
    <w:rsid w:val="00D04892"/>
    <w:rsid w:val="00D04CA9"/>
    <w:rsid w:val="00D04FC0"/>
    <w:rsid w:val="00D052A1"/>
    <w:rsid w:val="00D05E59"/>
    <w:rsid w:val="00D06008"/>
    <w:rsid w:val="00D06238"/>
    <w:rsid w:val="00D06714"/>
    <w:rsid w:val="00D0733A"/>
    <w:rsid w:val="00D077ED"/>
    <w:rsid w:val="00D1032B"/>
    <w:rsid w:val="00D1038D"/>
    <w:rsid w:val="00D10CAD"/>
    <w:rsid w:val="00D117E6"/>
    <w:rsid w:val="00D11924"/>
    <w:rsid w:val="00D12501"/>
    <w:rsid w:val="00D12944"/>
    <w:rsid w:val="00D12BCD"/>
    <w:rsid w:val="00D1314A"/>
    <w:rsid w:val="00D13907"/>
    <w:rsid w:val="00D139BD"/>
    <w:rsid w:val="00D13CC2"/>
    <w:rsid w:val="00D13EFC"/>
    <w:rsid w:val="00D146B6"/>
    <w:rsid w:val="00D1478A"/>
    <w:rsid w:val="00D15001"/>
    <w:rsid w:val="00D15242"/>
    <w:rsid w:val="00D15C0F"/>
    <w:rsid w:val="00D15D0D"/>
    <w:rsid w:val="00D1601A"/>
    <w:rsid w:val="00D16410"/>
    <w:rsid w:val="00D1652B"/>
    <w:rsid w:val="00D1676D"/>
    <w:rsid w:val="00D169FE"/>
    <w:rsid w:val="00D1763A"/>
    <w:rsid w:val="00D17AFD"/>
    <w:rsid w:val="00D209B6"/>
    <w:rsid w:val="00D21FAF"/>
    <w:rsid w:val="00D21FEB"/>
    <w:rsid w:val="00D221D6"/>
    <w:rsid w:val="00D226D7"/>
    <w:rsid w:val="00D22CB3"/>
    <w:rsid w:val="00D22CEF"/>
    <w:rsid w:val="00D22FE8"/>
    <w:rsid w:val="00D23482"/>
    <w:rsid w:val="00D23E68"/>
    <w:rsid w:val="00D24648"/>
    <w:rsid w:val="00D24850"/>
    <w:rsid w:val="00D2487F"/>
    <w:rsid w:val="00D248F5"/>
    <w:rsid w:val="00D24E60"/>
    <w:rsid w:val="00D24EC3"/>
    <w:rsid w:val="00D2602C"/>
    <w:rsid w:val="00D262BD"/>
    <w:rsid w:val="00D26DA5"/>
    <w:rsid w:val="00D26E38"/>
    <w:rsid w:val="00D2719C"/>
    <w:rsid w:val="00D2726D"/>
    <w:rsid w:val="00D27BD0"/>
    <w:rsid w:val="00D27C48"/>
    <w:rsid w:val="00D27F14"/>
    <w:rsid w:val="00D27FD5"/>
    <w:rsid w:val="00D301EF"/>
    <w:rsid w:val="00D304A7"/>
    <w:rsid w:val="00D30DEA"/>
    <w:rsid w:val="00D31065"/>
    <w:rsid w:val="00D31404"/>
    <w:rsid w:val="00D31844"/>
    <w:rsid w:val="00D31DF8"/>
    <w:rsid w:val="00D325F6"/>
    <w:rsid w:val="00D32D2E"/>
    <w:rsid w:val="00D33ED3"/>
    <w:rsid w:val="00D33F6D"/>
    <w:rsid w:val="00D33F7F"/>
    <w:rsid w:val="00D34147"/>
    <w:rsid w:val="00D34310"/>
    <w:rsid w:val="00D343EC"/>
    <w:rsid w:val="00D3492B"/>
    <w:rsid w:val="00D34DF3"/>
    <w:rsid w:val="00D351C8"/>
    <w:rsid w:val="00D351FA"/>
    <w:rsid w:val="00D35200"/>
    <w:rsid w:val="00D353B3"/>
    <w:rsid w:val="00D35709"/>
    <w:rsid w:val="00D35C66"/>
    <w:rsid w:val="00D35F59"/>
    <w:rsid w:val="00D3666A"/>
    <w:rsid w:val="00D3678F"/>
    <w:rsid w:val="00D3697F"/>
    <w:rsid w:val="00D36A4E"/>
    <w:rsid w:val="00D36BA5"/>
    <w:rsid w:val="00D37230"/>
    <w:rsid w:val="00D3765B"/>
    <w:rsid w:val="00D37C2F"/>
    <w:rsid w:val="00D40E1A"/>
    <w:rsid w:val="00D40F34"/>
    <w:rsid w:val="00D413AC"/>
    <w:rsid w:val="00D41A3A"/>
    <w:rsid w:val="00D420A9"/>
    <w:rsid w:val="00D423C3"/>
    <w:rsid w:val="00D423FA"/>
    <w:rsid w:val="00D425DD"/>
    <w:rsid w:val="00D4278D"/>
    <w:rsid w:val="00D42AFA"/>
    <w:rsid w:val="00D42B32"/>
    <w:rsid w:val="00D430EE"/>
    <w:rsid w:val="00D43A18"/>
    <w:rsid w:val="00D44249"/>
    <w:rsid w:val="00D447CB"/>
    <w:rsid w:val="00D44C17"/>
    <w:rsid w:val="00D46396"/>
    <w:rsid w:val="00D465EF"/>
    <w:rsid w:val="00D467DE"/>
    <w:rsid w:val="00D46C03"/>
    <w:rsid w:val="00D46D76"/>
    <w:rsid w:val="00D46FA4"/>
    <w:rsid w:val="00D4754E"/>
    <w:rsid w:val="00D47754"/>
    <w:rsid w:val="00D47A8B"/>
    <w:rsid w:val="00D47A8F"/>
    <w:rsid w:val="00D47CC4"/>
    <w:rsid w:val="00D5004A"/>
    <w:rsid w:val="00D50A0C"/>
    <w:rsid w:val="00D514E1"/>
    <w:rsid w:val="00D51B95"/>
    <w:rsid w:val="00D5201A"/>
    <w:rsid w:val="00D52056"/>
    <w:rsid w:val="00D52126"/>
    <w:rsid w:val="00D5257E"/>
    <w:rsid w:val="00D52BE1"/>
    <w:rsid w:val="00D52CDB"/>
    <w:rsid w:val="00D52EAD"/>
    <w:rsid w:val="00D52FFC"/>
    <w:rsid w:val="00D532A6"/>
    <w:rsid w:val="00D532E2"/>
    <w:rsid w:val="00D53953"/>
    <w:rsid w:val="00D53BF5"/>
    <w:rsid w:val="00D53CEF"/>
    <w:rsid w:val="00D548D4"/>
    <w:rsid w:val="00D54C3F"/>
    <w:rsid w:val="00D5538A"/>
    <w:rsid w:val="00D554F9"/>
    <w:rsid w:val="00D55599"/>
    <w:rsid w:val="00D55A40"/>
    <w:rsid w:val="00D5697C"/>
    <w:rsid w:val="00D56CB1"/>
    <w:rsid w:val="00D577E5"/>
    <w:rsid w:val="00D57BBD"/>
    <w:rsid w:val="00D57BC3"/>
    <w:rsid w:val="00D600E1"/>
    <w:rsid w:val="00D60256"/>
    <w:rsid w:val="00D60330"/>
    <w:rsid w:val="00D60359"/>
    <w:rsid w:val="00D60449"/>
    <w:rsid w:val="00D604E8"/>
    <w:rsid w:val="00D60891"/>
    <w:rsid w:val="00D612AB"/>
    <w:rsid w:val="00D6168C"/>
    <w:rsid w:val="00D617DA"/>
    <w:rsid w:val="00D61867"/>
    <w:rsid w:val="00D61EC0"/>
    <w:rsid w:val="00D627D1"/>
    <w:rsid w:val="00D628E3"/>
    <w:rsid w:val="00D62A34"/>
    <w:rsid w:val="00D6309A"/>
    <w:rsid w:val="00D63CC2"/>
    <w:rsid w:val="00D6411B"/>
    <w:rsid w:val="00D64371"/>
    <w:rsid w:val="00D64797"/>
    <w:rsid w:val="00D64C91"/>
    <w:rsid w:val="00D651F8"/>
    <w:rsid w:val="00D65E53"/>
    <w:rsid w:val="00D660F8"/>
    <w:rsid w:val="00D66406"/>
    <w:rsid w:val="00D6686F"/>
    <w:rsid w:val="00D66B40"/>
    <w:rsid w:val="00D6782A"/>
    <w:rsid w:val="00D70383"/>
    <w:rsid w:val="00D706B8"/>
    <w:rsid w:val="00D70D13"/>
    <w:rsid w:val="00D70F2C"/>
    <w:rsid w:val="00D717AA"/>
    <w:rsid w:val="00D718F4"/>
    <w:rsid w:val="00D728A0"/>
    <w:rsid w:val="00D72C91"/>
    <w:rsid w:val="00D7333A"/>
    <w:rsid w:val="00D73353"/>
    <w:rsid w:val="00D737A7"/>
    <w:rsid w:val="00D73834"/>
    <w:rsid w:val="00D73B86"/>
    <w:rsid w:val="00D73CD7"/>
    <w:rsid w:val="00D74206"/>
    <w:rsid w:val="00D74AA1"/>
    <w:rsid w:val="00D74CD9"/>
    <w:rsid w:val="00D75018"/>
    <w:rsid w:val="00D753E2"/>
    <w:rsid w:val="00D75907"/>
    <w:rsid w:val="00D75C0B"/>
    <w:rsid w:val="00D76378"/>
    <w:rsid w:val="00D767AE"/>
    <w:rsid w:val="00D7688E"/>
    <w:rsid w:val="00D76911"/>
    <w:rsid w:val="00D76AE4"/>
    <w:rsid w:val="00D770CC"/>
    <w:rsid w:val="00D77DD4"/>
    <w:rsid w:val="00D80003"/>
    <w:rsid w:val="00D807A6"/>
    <w:rsid w:val="00D80B70"/>
    <w:rsid w:val="00D80F55"/>
    <w:rsid w:val="00D812E7"/>
    <w:rsid w:val="00D815B0"/>
    <w:rsid w:val="00D816DB"/>
    <w:rsid w:val="00D816E1"/>
    <w:rsid w:val="00D8197C"/>
    <w:rsid w:val="00D81E0B"/>
    <w:rsid w:val="00D81ED7"/>
    <w:rsid w:val="00D8218A"/>
    <w:rsid w:val="00D82510"/>
    <w:rsid w:val="00D826F2"/>
    <w:rsid w:val="00D82893"/>
    <w:rsid w:val="00D83142"/>
    <w:rsid w:val="00D8338F"/>
    <w:rsid w:val="00D8339D"/>
    <w:rsid w:val="00D83785"/>
    <w:rsid w:val="00D83805"/>
    <w:rsid w:val="00D839FA"/>
    <w:rsid w:val="00D84207"/>
    <w:rsid w:val="00D84383"/>
    <w:rsid w:val="00D84716"/>
    <w:rsid w:val="00D849D9"/>
    <w:rsid w:val="00D85276"/>
    <w:rsid w:val="00D8551A"/>
    <w:rsid w:val="00D85738"/>
    <w:rsid w:val="00D85A96"/>
    <w:rsid w:val="00D85CFF"/>
    <w:rsid w:val="00D862A3"/>
    <w:rsid w:val="00D8686F"/>
    <w:rsid w:val="00D86B2B"/>
    <w:rsid w:val="00D86E1A"/>
    <w:rsid w:val="00D86FAF"/>
    <w:rsid w:val="00D871C3"/>
    <w:rsid w:val="00D871F9"/>
    <w:rsid w:val="00D8796C"/>
    <w:rsid w:val="00D87FE8"/>
    <w:rsid w:val="00D9027A"/>
    <w:rsid w:val="00D9030D"/>
    <w:rsid w:val="00D909FC"/>
    <w:rsid w:val="00D90ADD"/>
    <w:rsid w:val="00D91403"/>
    <w:rsid w:val="00D91664"/>
    <w:rsid w:val="00D91669"/>
    <w:rsid w:val="00D91926"/>
    <w:rsid w:val="00D91A24"/>
    <w:rsid w:val="00D91AC5"/>
    <w:rsid w:val="00D91C8B"/>
    <w:rsid w:val="00D91E32"/>
    <w:rsid w:val="00D9242E"/>
    <w:rsid w:val="00D9248D"/>
    <w:rsid w:val="00D92577"/>
    <w:rsid w:val="00D92ABC"/>
    <w:rsid w:val="00D92DFE"/>
    <w:rsid w:val="00D9352B"/>
    <w:rsid w:val="00D9366E"/>
    <w:rsid w:val="00D937F5"/>
    <w:rsid w:val="00D93830"/>
    <w:rsid w:val="00D93832"/>
    <w:rsid w:val="00D93F80"/>
    <w:rsid w:val="00D940D4"/>
    <w:rsid w:val="00D94399"/>
    <w:rsid w:val="00D945F5"/>
    <w:rsid w:val="00D94DFD"/>
    <w:rsid w:val="00D94E5E"/>
    <w:rsid w:val="00D94EE9"/>
    <w:rsid w:val="00D950C9"/>
    <w:rsid w:val="00D951FB"/>
    <w:rsid w:val="00D95287"/>
    <w:rsid w:val="00D95993"/>
    <w:rsid w:val="00D95AD0"/>
    <w:rsid w:val="00D95F56"/>
    <w:rsid w:val="00D95F70"/>
    <w:rsid w:val="00D962E3"/>
    <w:rsid w:val="00D96498"/>
    <w:rsid w:val="00D965F6"/>
    <w:rsid w:val="00D968F8"/>
    <w:rsid w:val="00D96A7D"/>
    <w:rsid w:val="00D96CE4"/>
    <w:rsid w:val="00D96D45"/>
    <w:rsid w:val="00D9710A"/>
    <w:rsid w:val="00D97344"/>
    <w:rsid w:val="00D97B87"/>
    <w:rsid w:val="00D97EF2"/>
    <w:rsid w:val="00DA0701"/>
    <w:rsid w:val="00DA12C0"/>
    <w:rsid w:val="00DA1486"/>
    <w:rsid w:val="00DA1ACF"/>
    <w:rsid w:val="00DA1B51"/>
    <w:rsid w:val="00DA1E44"/>
    <w:rsid w:val="00DA2587"/>
    <w:rsid w:val="00DA313F"/>
    <w:rsid w:val="00DA31DC"/>
    <w:rsid w:val="00DA35BD"/>
    <w:rsid w:val="00DA3967"/>
    <w:rsid w:val="00DA3A7F"/>
    <w:rsid w:val="00DA3B77"/>
    <w:rsid w:val="00DA4113"/>
    <w:rsid w:val="00DA4D3B"/>
    <w:rsid w:val="00DA4DAC"/>
    <w:rsid w:val="00DA4F0F"/>
    <w:rsid w:val="00DA5024"/>
    <w:rsid w:val="00DA52BA"/>
    <w:rsid w:val="00DA5664"/>
    <w:rsid w:val="00DA59F9"/>
    <w:rsid w:val="00DA5F92"/>
    <w:rsid w:val="00DA6291"/>
    <w:rsid w:val="00DA6556"/>
    <w:rsid w:val="00DA67DB"/>
    <w:rsid w:val="00DA6BB2"/>
    <w:rsid w:val="00DA79C2"/>
    <w:rsid w:val="00DA7BB7"/>
    <w:rsid w:val="00DB022F"/>
    <w:rsid w:val="00DB05AC"/>
    <w:rsid w:val="00DB08F7"/>
    <w:rsid w:val="00DB0AC8"/>
    <w:rsid w:val="00DB1014"/>
    <w:rsid w:val="00DB1666"/>
    <w:rsid w:val="00DB1A31"/>
    <w:rsid w:val="00DB1B8E"/>
    <w:rsid w:val="00DB1E14"/>
    <w:rsid w:val="00DB21A7"/>
    <w:rsid w:val="00DB243D"/>
    <w:rsid w:val="00DB2A29"/>
    <w:rsid w:val="00DB3522"/>
    <w:rsid w:val="00DB3647"/>
    <w:rsid w:val="00DB3A81"/>
    <w:rsid w:val="00DB3F74"/>
    <w:rsid w:val="00DB4B74"/>
    <w:rsid w:val="00DB579B"/>
    <w:rsid w:val="00DB6083"/>
    <w:rsid w:val="00DB6586"/>
    <w:rsid w:val="00DB6664"/>
    <w:rsid w:val="00DB67CF"/>
    <w:rsid w:val="00DB6979"/>
    <w:rsid w:val="00DB7231"/>
    <w:rsid w:val="00DB7942"/>
    <w:rsid w:val="00DB7E89"/>
    <w:rsid w:val="00DC08DB"/>
    <w:rsid w:val="00DC0ECB"/>
    <w:rsid w:val="00DC0FCB"/>
    <w:rsid w:val="00DC10C0"/>
    <w:rsid w:val="00DC121E"/>
    <w:rsid w:val="00DC1234"/>
    <w:rsid w:val="00DC16EF"/>
    <w:rsid w:val="00DC2238"/>
    <w:rsid w:val="00DC24FB"/>
    <w:rsid w:val="00DC2B88"/>
    <w:rsid w:val="00DC2BE8"/>
    <w:rsid w:val="00DC2FC6"/>
    <w:rsid w:val="00DC3063"/>
    <w:rsid w:val="00DC3094"/>
    <w:rsid w:val="00DC3424"/>
    <w:rsid w:val="00DC354F"/>
    <w:rsid w:val="00DC3E31"/>
    <w:rsid w:val="00DC4C46"/>
    <w:rsid w:val="00DC5004"/>
    <w:rsid w:val="00DC5464"/>
    <w:rsid w:val="00DC56D2"/>
    <w:rsid w:val="00DC5849"/>
    <w:rsid w:val="00DC5E56"/>
    <w:rsid w:val="00DC6283"/>
    <w:rsid w:val="00DC6594"/>
    <w:rsid w:val="00DC665A"/>
    <w:rsid w:val="00DC7DF4"/>
    <w:rsid w:val="00DD0344"/>
    <w:rsid w:val="00DD045A"/>
    <w:rsid w:val="00DD0946"/>
    <w:rsid w:val="00DD0F68"/>
    <w:rsid w:val="00DD1038"/>
    <w:rsid w:val="00DD1088"/>
    <w:rsid w:val="00DD1098"/>
    <w:rsid w:val="00DD1499"/>
    <w:rsid w:val="00DD1923"/>
    <w:rsid w:val="00DD1CD9"/>
    <w:rsid w:val="00DD1E28"/>
    <w:rsid w:val="00DD1E2F"/>
    <w:rsid w:val="00DD22EA"/>
    <w:rsid w:val="00DD24E0"/>
    <w:rsid w:val="00DD26BD"/>
    <w:rsid w:val="00DD2862"/>
    <w:rsid w:val="00DD2D77"/>
    <w:rsid w:val="00DD2DEC"/>
    <w:rsid w:val="00DD3879"/>
    <w:rsid w:val="00DD3BCF"/>
    <w:rsid w:val="00DD3C83"/>
    <w:rsid w:val="00DD4676"/>
    <w:rsid w:val="00DD4810"/>
    <w:rsid w:val="00DD4AA0"/>
    <w:rsid w:val="00DD52FB"/>
    <w:rsid w:val="00DD632E"/>
    <w:rsid w:val="00DD63F8"/>
    <w:rsid w:val="00DD6528"/>
    <w:rsid w:val="00DD6865"/>
    <w:rsid w:val="00DD6AA4"/>
    <w:rsid w:val="00DD6DB6"/>
    <w:rsid w:val="00DD7227"/>
    <w:rsid w:val="00DD748B"/>
    <w:rsid w:val="00DD798D"/>
    <w:rsid w:val="00DD7D1D"/>
    <w:rsid w:val="00DD7F87"/>
    <w:rsid w:val="00DE02E1"/>
    <w:rsid w:val="00DE17D8"/>
    <w:rsid w:val="00DE189D"/>
    <w:rsid w:val="00DE1DFB"/>
    <w:rsid w:val="00DE20C6"/>
    <w:rsid w:val="00DE28CE"/>
    <w:rsid w:val="00DE2DF8"/>
    <w:rsid w:val="00DE301C"/>
    <w:rsid w:val="00DE31B4"/>
    <w:rsid w:val="00DE3636"/>
    <w:rsid w:val="00DE3656"/>
    <w:rsid w:val="00DE376A"/>
    <w:rsid w:val="00DE377E"/>
    <w:rsid w:val="00DE3C67"/>
    <w:rsid w:val="00DE4160"/>
    <w:rsid w:val="00DE420C"/>
    <w:rsid w:val="00DE4432"/>
    <w:rsid w:val="00DE4BA1"/>
    <w:rsid w:val="00DE51DF"/>
    <w:rsid w:val="00DE52D1"/>
    <w:rsid w:val="00DE57CE"/>
    <w:rsid w:val="00DE5970"/>
    <w:rsid w:val="00DE6028"/>
    <w:rsid w:val="00DE6B4D"/>
    <w:rsid w:val="00DE7238"/>
    <w:rsid w:val="00DE7473"/>
    <w:rsid w:val="00DF0073"/>
    <w:rsid w:val="00DF01EF"/>
    <w:rsid w:val="00DF0783"/>
    <w:rsid w:val="00DF092C"/>
    <w:rsid w:val="00DF0AF5"/>
    <w:rsid w:val="00DF0DEC"/>
    <w:rsid w:val="00DF1072"/>
    <w:rsid w:val="00DF12E1"/>
    <w:rsid w:val="00DF2622"/>
    <w:rsid w:val="00DF27C0"/>
    <w:rsid w:val="00DF2924"/>
    <w:rsid w:val="00DF2DA8"/>
    <w:rsid w:val="00DF3305"/>
    <w:rsid w:val="00DF357E"/>
    <w:rsid w:val="00DF3735"/>
    <w:rsid w:val="00DF49D3"/>
    <w:rsid w:val="00DF4E6B"/>
    <w:rsid w:val="00DF4E7B"/>
    <w:rsid w:val="00DF5071"/>
    <w:rsid w:val="00DF50A3"/>
    <w:rsid w:val="00DF5204"/>
    <w:rsid w:val="00DF59FB"/>
    <w:rsid w:val="00DF6205"/>
    <w:rsid w:val="00DF63FE"/>
    <w:rsid w:val="00DF66BD"/>
    <w:rsid w:val="00DF6DA1"/>
    <w:rsid w:val="00DF7602"/>
    <w:rsid w:val="00DF7859"/>
    <w:rsid w:val="00DF7EC8"/>
    <w:rsid w:val="00DF7F70"/>
    <w:rsid w:val="00E0028A"/>
    <w:rsid w:val="00E0040A"/>
    <w:rsid w:val="00E00622"/>
    <w:rsid w:val="00E006C6"/>
    <w:rsid w:val="00E00AB9"/>
    <w:rsid w:val="00E00AE9"/>
    <w:rsid w:val="00E00B87"/>
    <w:rsid w:val="00E00C35"/>
    <w:rsid w:val="00E0115E"/>
    <w:rsid w:val="00E011DB"/>
    <w:rsid w:val="00E0151E"/>
    <w:rsid w:val="00E015AC"/>
    <w:rsid w:val="00E016F6"/>
    <w:rsid w:val="00E01761"/>
    <w:rsid w:val="00E01C36"/>
    <w:rsid w:val="00E02414"/>
    <w:rsid w:val="00E02626"/>
    <w:rsid w:val="00E02891"/>
    <w:rsid w:val="00E02B74"/>
    <w:rsid w:val="00E0344E"/>
    <w:rsid w:val="00E03615"/>
    <w:rsid w:val="00E038DB"/>
    <w:rsid w:val="00E039FA"/>
    <w:rsid w:val="00E046BB"/>
    <w:rsid w:val="00E04BC8"/>
    <w:rsid w:val="00E05018"/>
    <w:rsid w:val="00E05479"/>
    <w:rsid w:val="00E054CD"/>
    <w:rsid w:val="00E05846"/>
    <w:rsid w:val="00E05A5F"/>
    <w:rsid w:val="00E061F3"/>
    <w:rsid w:val="00E067F0"/>
    <w:rsid w:val="00E070F5"/>
    <w:rsid w:val="00E07CB6"/>
    <w:rsid w:val="00E10281"/>
    <w:rsid w:val="00E107FD"/>
    <w:rsid w:val="00E10948"/>
    <w:rsid w:val="00E10C59"/>
    <w:rsid w:val="00E11608"/>
    <w:rsid w:val="00E119C6"/>
    <w:rsid w:val="00E11CDA"/>
    <w:rsid w:val="00E123C2"/>
    <w:rsid w:val="00E128BA"/>
    <w:rsid w:val="00E12D0D"/>
    <w:rsid w:val="00E13672"/>
    <w:rsid w:val="00E13DDC"/>
    <w:rsid w:val="00E1409E"/>
    <w:rsid w:val="00E1458A"/>
    <w:rsid w:val="00E14663"/>
    <w:rsid w:val="00E147CD"/>
    <w:rsid w:val="00E14AC2"/>
    <w:rsid w:val="00E14E83"/>
    <w:rsid w:val="00E15193"/>
    <w:rsid w:val="00E15AD3"/>
    <w:rsid w:val="00E15B56"/>
    <w:rsid w:val="00E15D41"/>
    <w:rsid w:val="00E15E5C"/>
    <w:rsid w:val="00E160E6"/>
    <w:rsid w:val="00E1645B"/>
    <w:rsid w:val="00E16525"/>
    <w:rsid w:val="00E16629"/>
    <w:rsid w:val="00E16732"/>
    <w:rsid w:val="00E168B8"/>
    <w:rsid w:val="00E1736E"/>
    <w:rsid w:val="00E1746D"/>
    <w:rsid w:val="00E17522"/>
    <w:rsid w:val="00E20236"/>
    <w:rsid w:val="00E205DD"/>
    <w:rsid w:val="00E20663"/>
    <w:rsid w:val="00E20B94"/>
    <w:rsid w:val="00E20C41"/>
    <w:rsid w:val="00E21091"/>
    <w:rsid w:val="00E220D7"/>
    <w:rsid w:val="00E224EA"/>
    <w:rsid w:val="00E22B3C"/>
    <w:rsid w:val="00E22C59"/>
    <w:rsid w:val="00E22DC7"/>
    <w:rsid w:val="00E240AB"/>
    <w:rsid w:val="00E241C3"/>
    <w:rsid w:val="00E249ED"/>
    <w:rsid w:val="00E24D12"/>
    <w:rsid w:val="00E25399"/>
    <w:rsid w:val="00E25691"/>
    <w:rsid w:val="00E258C5"/>
    <w:rsid w:val="00E2609D"/>
    <w:rsid w:val="00E26188"/>
    <w:rsid w:val="00E26422"/>
    <w:rsid w:val="00E27203"/>
    <w:rsid w:val="00E272FC"/>
    <w:rsid w:val="00E273DC"/>
    <w:rsid w:val="00E27BB1"/>
    <w:rsid w:val="00E3052F"/>
    <w:rsid w:val="00E306C8"/>
    <w:rsid w:val="00E30D47"/>
    <w:rsid w:val="00E30F48"/>
    <w:rsid w:val="00E31A5B"/>
    <w:rsid w:val="00E32115"/>
    <w:rsid w:val="00E3249F"/>
    <w:rsid w:val="00E32B64"/>
    <w:rsid w:val="00E32CCC"/>
    <w:rsid w:val="00E32D12"/>
    <w:rsid w:val="00E32D2D"/>
    <w:rsid w:val="00E33589"/>
    <w:rsid w:val="00E3388E"/>
    <w:rsid w:val="00E33B9A"/>
    <w:rsid w:val="00E33C8D"/>
    <w:rsid w:val="00E33D88"/>
    <w:rsid w:val="00E33F37"/>
    <w:rsid w:val="00E344BA"/>
    <w:rsid w:val="00E34F5C"/>
    <w:rsid w:val="00E350D4"/>
    <w:rsid w:val="00E350D6"/>
    <w:rsid w:val="00E35791"/>
    <w:rsid w:val="00E35853"/>
    <w:rsid w:val="00E35BA8"/>
    <w:rsid w:val="00E35EFD"/>
    <w:rsid w:val="00E36173"/>
    <w:rsid w:val="00E36194"/>
    <w:rsid w:val="00E36221"/>
    <w:rsid w:val="00E3662F"/>
    <w:rsid w:val="00E3675C"/>
    <w:rsid w:val="00E3680B"/>
    <w:rsid w:val="00E37013"/>
    <w:rsid w:val="00E372FA"/>
    <w:rsid w:val="00E377C8"/>
    <w:rsid w:val="00E37888"/>
    <w:rsid w:val="00E37E5A"/>
    <w:rsid w:val="00E37F3B"/>
    <w:rsid w:val="00E402D3"/>
    <w:rsid w:val="00E40EF0"/>
    <w:rsid w:val="00E40FB4"/>
    <w:rsid w:val="00E41161"/>
    <w:rsid w:val="00E41576"/>
    <w:rsid w:val="00E419AF"/>
    <w:rsid w:val="00E419D4"/>
    <w:rsid w:val="00E41D67"/>
    <w:rsid w:val="00E41F65"/>
    <w:rsid w:val="00E41FB2"/>
    <w:rsid w:val="00E422D4"/>
    <w:rsid w:val="00E42F0D"/>
    <w:rsid w:val="00E43408"/>
    <w:rsid w:val="00E43868"/>
    <w:rsid w:val="00E4448A"/>
    <w:rsid w:val="00E4473B"/>
    <w:rsid w:val="00E44DF1"/>
    <w:rsid w:val="00E451F1"/>
    <w:rsid w:val="00E45784"/>
    <w:rsid w:val="00E45A1A"/>
    <w:rsid w:val="00E46321"/>
    <w:rsid w:val="00E463CF"/>
    <w:rsid w:val="00E46CBE"/>
    <w:rsid w:val="00E4700B"/>
    <w:rsid w:val="00E4712A"/>
    <w:rsid w:val="00E501A9"/>
    <w:rsid w:val="00E50352"/>
    <w:rsid w:val="00E505C4"/>
    <w:rsid w:val="00E5087F"/>
    <w:rsid w:val="00E50F0C"/>
    <w:rsid w:val="00E51438"/>
    <w:rsid w:val="00E51A8F"/>
    <w:rsid w:val="00E51E57"/>
    <w:rsid w:val="00E520E3"/>
    <w:rsid w:val="00E524B6"/>
    <w:rsid w:val="00E528BB"/>
    <w:rsid w:val="00E52C26"/>
    <w:rsid w:val="00E52D90"/>
    <w:rsid w:val="00E535A4"/>
    <w:rsid w:val="00E538D1"/>
    <w:rsid w:val="00E54337"/>
    <w:rsid w:val="00E54E91"/>
    <w:rsid w:val="00E54FED"/>
    <w:rsid w:val="00E55658"/>
    <w:rsid w:val="00E5573D"/>
    <w:rsid w:val="00E55BEE"/>
    <w:rsid w:val="00E560F0"/>
    <w:rsid w:val="00E56277"/>
    <w:rsid w:val="00E562F2"/>
    <w:rsid w:val="00E567E5"/>
    <w:rsid w:val="00E56EAD"/>
    <w:rsid w:val="00E56F3D"/>
    <w:rsid w:val="00E5717E"/>
    <w:rsid w:val="00E57225"/>
    <w:rsid w:val="00E572B7"/>
    <w:rsid w:val="00E57AAA"/>
    <w:rsid w:val="00E57D18"/>
    <w:rsid w:val="00E600CD"/>
    <w:rsid w:val="00E601B9"/>
    <w:rsid w:val="00E60B0D"/>
    <w:rsid w:val="00E60D9C"/>
    <w:rsid w:val="00E60E8A"/>
    <w:rsid w:val="00E60FBD"/>
    <w:rsid w:val="00E61218"/>
    <w:rsid w:val="00E61793"/>
    <w:rsid w:val="00E617EC"/>
    <w:rsid w:val="00E6185D"/>
    <w:rsid w:val="00E61AF7"/>
    <w:rsid w:val="00E62441"/>
    <w:rsid w:val="00E625DE"/>
    <w:rsid w:val="00E62855"/>
    <w:rsid w:val="00E62A20"/>
    <w:rsid w:val="00E63584"/>
    <w:rsid w:val="00E63A75"/>
    <w:rsid w:val="00E63E16"/>
    <w:rsid w:val="00E644FF"/>
    <w:rsid w:val="00E646AA"/>
    <w:rsid w:val="00E647BC"/>
    <w:rsid w:val="00E648E2"/>
    <w:rsid w:val="00E64CF8"/>
    <w:rsid w:val="00E64E3D"/>
    <w:rsid w:val="00E653C7"/>
    <w:rsid w:val="00E654F2"/>
    <w:rsid w:val="00E65783"/>
    <w:rsid w:val="00E65787"/>
    <w:rsid w:val="00E65A25"/>
    <w:rsid w:val="00E669A7"/>
    <w:rsid w:val="00E66CD3"/>
    <w:rsid w:val="00E66F49"/>
    <w:rsid w:val="00E678FD"/>
    <w:rsid w:val="00E67B81"/>
    <w:rsid w:val="00E67EBF"/>
    <w:rsid w:val="00E7027A"/>
    <w:rsid w:val="00E70641"/>
    <w:rsid w:val="00E70B68"/>
    <w:rsid w:val="00E70BD8"/>
    <w:rsid w:val="00E70DF9"/>
    <w:rsid w:val="00E70E97"/>
    <w:rsid w:val="00E7102C"/>
    <w:rsid w:val="00E713DC"/>
    <w:rsid w:val="00E7147C"/>
    <w:rsid w:val="00E71637"/>
    <w:rsid w:val="00E71B6C"/>
    <w:rsid w:val="00E71C12"/>
    <w:rsid w:val="00E71EAB"/>
    <w:rsid w:val="00E725A5"/>
    <w:rsid w:val="00E729D9"/>
    <w:rsid w:val="00E73059"/>
    <w:rsid w:val="00E7326F"/>
    <w:rsid w:val="00E736CA"/>
    <w:rsid w:val="00E738B6"/>
    <w:rsid w:val="00E742D9"/>
    <w:rsid w:val="00E7460E"/>
    <w:rsid w:val="00E74961"/>
    <w:rsid w:val="00E74A15"/>
    <w:rsid w:val="00E74D25"/>
    <w:rsid w:val="00E74E6B"/>
    <w:rsid w:val="00E753E3"/>
    <w:rsid w:val="00E75446"/>
    <w:rsid w:val="00E755C8"/>
    <w:rsid w:val="00E75D56"/>
    <w:rsid w:val="00E764AE"/>
    <w:rsid w:val="00E774E6"/>
    <w:rsid w:val="00E774E9"/>
    <w:rsid w:val="00E778CE"/>
    <w:rsid w:val="00E77B6F"/>
    <w:rsid w:val="00E801F3"/>
    <w:rsid w:val="00E80BB1"/>
    <w:rsid w:val="00E81045"/>
    <w:rsid w:val="00E8186A"/>
    <w:rsid w:val="00E81F64"/>
    <w:rsid w:val="00E8242B"/>
    <w:rsid w:val="00E825E1"/>
    <w:rsid w:val="00E826EC"/>
    <w:rsid w:val="00E829B8"/>
    <w:rsid w:val="00E83180"/>
    <w:rsid w:val="00E831AE"/>
    <w:rsid w:val="00E8389B"/>
    <w:rsid w:val="00E83A13"/>
    <w:rsid w:val="00E84187"/>
    <w:rsid w:val="00E843EF"/>
    <w:rsid w:val="00E84633"/>
    <w:rsid w:val="00E84720"/>
    <w:rsid w:val="00E84A7A"/>
    <w:rsid w:val="00E84E27"/>
    <w:rsid w:val="00E84E57"/>
    <w:rsid w:val="00E8508A"/>
    <w:rsid w:val="00E851BA"/>
    <w:rsid w:val="00E853D0"/>
    <w:rsid w:val="00E8564F"/>
    <w:rsid w:val="00E858D3"/>
    <w:rsid w:val="00E85C44"/>
    <w:rsid w:val="00E86193"/>
    <w:rsid w:val="00E8624F"/>
    <w:rsid w:val="00E862C0"/>
    <w:rsid w:val="00E871F1"/>
    <w:rsid w:val="00E8735B"/>
    <w:rsid w:val="00E9006A"/>
    <w:rsid w:val="00E90159"/>
    <w:rsid w:val="00E902C6"/>
    <w:rsid w:val="00E90941"/>
    <w:rsid w:val="00E90CEE"/>
    <w:rsid w:val="00E90EC6"/>
    <w:rsid w:val="00E90F2D"/>
    <w:rsid w:val="00E9134B"/>
    <w:rsid w:val="00E91864"/>
    <w:rsid w:val="00E91876"/>
    <w:rsid w:val="00E918F9"/>
    <w:rsid w:val="00E91A08"/>
    <w:rsid w:val="00E91C2D"/>
    <w:rsid w:val="00E91CD4"/>
    <w:rsid w:val="00E91D39"/>
    <w:rsid w:val="00E9210B"/>
    <w:rsid w:val="00E923E7"/>
    <w:rsid w:val="00E928B4"/>
    <w:rsid w:val="00E929CF"/>
    <w:rsid w:val="00E92F79"/>
    <w:rsid w:val="00E93C8B"/>
    <w:rsid w:val="00E94274"/>
    <w:rsid w:val="00E94432"/>
    <w:rsid w:val="00E944AE"/>
    <w:rsid w:val="00E94B25"/>
    <w:rsid w:val="00E94B6E"/>
    <w:rsid w:val="00E9500B"/>
    <w:rsid w:val="00E95272"/>
    <w:rsid w:val="00E95444"/>
    <w:rsid w:val="00E955F9"/>
    <w:rsid w:val="00E95B58"/>
    <w:rsid w:val="00E9633E"/>
    <w:rsid w:val="00E96537"/>
    <w:rsid w:val="00E9668C"/>
    <w:rsid w:val="00E967F9"/>
    <w:rsid w:val="00E96DD4"/>
    <w:rsid w:val="00E96F6E"/>
    <w:rsid w:val="00E97507"/>
    <w:rsid w:val="00E97FE2"/>
    <w:rsid w:val="00EA0107"/>
    <w:rsid w:val="00EA022F"/>
    <w:rsid w:val="00EA0BA9"/>
    <w:rsid w:val="00EA0EE1"/>
    <w:rsid w:val="00EA100E"/>
    <w:rsid w:val="00EA1598"/>
    <w:rsid w:val="00EA228F"/>
    <w:rsid w:val="00EA285E"/>
    <w:rsid w:val="00EA2F51"/>
    <w:rsid w:val="00EA306B"/>
    <w:rsid w:val="00EA3862"/>
    <w:rsid w:val="00EA418A"/>
    <w:rsid w:val="00EA418C"/>
    <w:rsid w:val="00EA4240"/>
    <w:rsid w:val="00EA4538"/>
    <w:rsid w:val="00EA4B06"/>
    <w:rsid w:val="00EA5705"/>
    <w:rsid w:val="00EA5D84"/>
    <w:rsid w:val="00EA5EA4"/>
    <w:rsid w:val="00EA609F"/>
    <w:rsid w:val="00EA687A"/>
    <w:rsid w:val="00EA71C5"/>
    <w:rsid w:val="00EA7447"/>
    <w:rsid w:val="00EA7612"/>
    <w:rsid w:val="00EA7CA0"/>
    <w:rsid w:val="00EB00E3"/>
    <w:rsid w:val="00EB089A"/>
    <w:rsid w:val="00EB0CAA"/>
    <w:rsid w:val="00EB1078"/>
    <w:rsid w:val="00EB122E"/>
    <w:rsid w:val="00EB18F6"/>
    <w:rsid w:val="00EB19C2"/>
    <w:rsid w:val="00EB1F20"/>
    <w:rsid w:val="00EB26B0"/>
    <w:rsid w:val="00EB2A4A"/>
    <w:rsid w:val="00EB2C40"/>
    <w:rsid w:val="00EB2F61"/>
    <w:rsid w:val="00EB33DF"/>
    <w:rsid w:val="00EB3486"/>
    <w:rsid w:val="00EB3E9F"/>
    <w:rsid w:val="00EB4EC2"/>
    <w:rsid w:val="00EB4F58"/>
    <w:rsid w:val="00EB4FEB"/>
    <w:rsid w:val="00EB51D3"/>
    <w:rsid w:val="00EB5225"/>
    <w:rsid w:val="00EB55A4"/>
    <w:rsid w:val="00EB573A"/>
    <w:rsid w:val="00EB60D1"/>
    <w:rsid w:val="00EB62F2"/>
    <w:rsid w:val="00EB6C64"/>
    <w:rsid w:val="00EB6E85"/>
    <w:rsid w:val="00EB72B5"/>
    <w:rsid w:val="00EB7552"/>
    <w:rsid w:val="00EB767C"/>
    <w:rsid w:val="00EB76FF"/>
    <w:rsid w:val="00EB790B"/>
    <w:rsid w:val="00EB7C02"/>
    <w:rsid w:val="00EC079F"/>
    <w:rsid w:val="00EC087D"/>
    <w:rsid w:val="00EC09D5"/>
    <w:rsid w:val="00EC0C4A"/>
    <w:rsid w:val="00EC0D41"/>
    <w:rsid w:val="00EC0EE6"/>
    <w:rsid w:val="00EC1314"/>
    <w:rsid w:val="00EC1696"/>
    <w:rsid w:val="00EC190A"/>
    <w:rsid w:val="00EC1BE4"/>
    <w:rsid w:val="00EC1E4E"/>
    <w:rsid w:val="00EC21FD"/>
    <w:rsid w:val="00EC2384"/>
    <w:rsid w:val="00EC2DF8"/>
    <w:rsid w:val="00EC306F"/>
    <w:rsid w:val="00EC30A2"/>
    <w:rsid w:val="00EC321F"/>
    <w:rsid w:val="00EC3ED4"/>
    <w:rsid w:val="00EC41BB"/>
    <w:rsid w:val="00EC42AF"/>
    <w:rsid w:val="00EC4630"/>
    <w:rsid w:val="00EC469A"/>
    <w:rsid w:val="00EC4721"/>
    <w:rsid w:val="00EC48F1"/>
    <w:rsid w:val="00EC4C30"/>
    <w:rsid w:val="00EC4CEE"/>
    <w:rsid w:val="00EC4E4A"/>
    <w:rsid w:val="00EC4EC4"/>
    <w:rsid w:val="00EC58A7"/>
    <w:rsid w:val="00EC5965"/>
    <w:rsid w:val="00EC5FB7"/>
    <w:rsid w:val="00EC67E9"/>
    <w:rsid w:val="00EC6840"/>
    <w:rsid w:val="00EC6C0A"/>
    <w:rsid w:val="00EC6DED"/>
    <w:rsid w:val="00EC7915"/>
    <w:rsid w:val="00ED0D68"/>
    <w:rsid w:val="00ED10A0"/>
    <w:rsid w:val="00ED12E2"/>
    <w:rsid w:val="00ED2563"/>
    <w:rsid w:val="00ED2897"/>
    <w:rsid w:val="00ED2F75"/>
    <w:rsid w:val="00ED3250"/>
    <w:rsid w:val="00ED3534"/>
    <w:rsid w:val="00ED37E2"/>
    <w:rsid w:val="00ED39D9"/>
    <w:rsid w:val="00ED4CC0"/>
    <w:rsid w:val="00ED5250"/>
    <w:rsid w:val="00ED535E"/>
    <w:rsid w:val="00ED5494"/>
    <w:rsid w:val="00ED5772"/>
    <w:rsid w:val="00ED586E"/>
    <w:rsid w:val="00ED5919"/>
    <w:rsid w:val="00ED5EF8"/>
    <w:rsid w:val="00ED6821"/>
    <w:rsid w:val="00ED6EB6"/>
    <w:rsid w:val="00ED71B8"/>
    <w:rsid w:val="00ED737F"/>
    <w:rsid w:val="00ED799E"/>
    <w:rsid w:val="00ED7E72"/>
    <w:rsid w:val="00EE0089"/>
    <w:rsid w:val="00EE05FC"/>
    <w:rsid w:val="00EE0D83"/>
    <w:rsid w:val="00EE0DC2"/>
    <w:rsid w:val="00EE0DFF"/>
    <w:rsid w:val="00EE2164"/>
    <w:rsid w:val="00EE271F"/>
    <w:rsid w:val="00EE2E43"/>
    <w:rsid w:val="00EE2F42"/>
    <w:rsid w:val="00EE3017"/>
    <w:rsid w:val="00EE30E2"/>
    <w:rsid w:val="00EE3131"/>
    <w:rsid w:val="00EE31CD"/>
    <w:rsid w:val="00EE33C8"/>
    <w:rsid w:val="00EE3628"/>
    <w:rsid w:val="00EE38FF"/>
    <w:rsid w:val="00EE3B2B"/>
    <w:rsid w:val="00EE3F93"/>
    <w:rsid w:val="00EE4027"/>
    <w:rsid w:val="00EE4C63"/>
    <w:rsid w:val="00EE4D88"/>
    <w:rsid w:val="00EE51B7"/>
    <w:rsid w:val="00EE523F"/>
    <w:rsid w:val="00EE530E"/>
    <w:rsid w:val="00EE531D"/>
    <w:rsid w:val="00EE55AA"/>
    <w:rsid w:val="00EE572B"/>
    <w:rsid w:val="00EE584D"/>
    <w:rsid w:val="00EE5C60"/>
    <w:rsid w:val="00EE657D"/>
    <w:rsid w:val="00EE6D01"/>
    <w:rsid w:val="00EE6EDB"/>
    <w:rsid w:val="00EE7011"/>
    <w:rsid w:val="00EE7268"/>
    <w:rsid w:val="00EE763B"/>
    <w:rsid w:val="00EE7FA3"/>
    <w:rsid w:val="00EF0CBA"/>
    <w:rsid w:val="00EF14EF"/>
    <w:rsid w:val="00EF1A16"/>
    <w:rsid w:val="00EF2138"/>
    <w:rsid w:val="00EF2189"/>
    <w:rsid w:val="00EF222E"/>
    <w:rsid w:val="00EF2EA8"/>
    <w:rsid w:val="00EF345B"/>
    <w:rsid w:val="00EF381A"/>
    <w:rsid w:val="00EF3E42"/>
    <w:rsid w:val="00EF4E60"/>
    <w:rsid w:val="00EF4F6E"/>
    <w:rsid w:val="00EF4FB3"/>
    <w:rsid w:val="00EF509D"/>
    <w:rsid w:val="00EF570A"/>
    <w:rsid w:val="00EF57A7"/>
    <w:rsid w:val="00EF5839"/>
    <w:rsid w:val="00EF6193"/>
    <w:rsid w:val="00EF6330"/>
    <w:rsid w:val="00EF70B0"/>
    <w:rsid w:val="00EF70F9"/>
    <w:rsid w:val="00EF738F"/>
    <w:rsid w:val="00EF78FA"/>
    <w:rsid w:val="00EF796E"/>
    <w:rsid w:val="00F000E2"/>
    <w:rsid w:val="00F003B4"/>
    <w:rsid w:val="00F004B9"/>
    <w:rsid w:val="00F006C3"/>
    <w:rsid w:val="00F007D8"/>
    <w:rsid w:val="00F00931"/>
    <w:rsid w:val="00F0096F"/>
    <w:rsid w:val="00F00A8D"/>
    <w:rsid w:val="00F00D4B"/>
    <w:rsid w:val="00F01067"/>
    <w:rsid w:val="00F0126F"/>
    <w:rsid w:val="00F01375"/>
    <w:rsid w:val="00F0157B"/>
    <w:rsid w:val="00F01653"/>
    <w:rsid w:val="00F016CB"/>
    <w:rsid w:val="00F01BB0"/>
    <w:rsid w:val="00F0282A"/>
    <w:rsid w:val="00F02886"/>
    <w:rsid w:val="00F02FC9"/>
    <w:rsid w:val="00F03089"/>
    <w:rsid w:val="00F0345F"/>
    <w:rsid w:val="00F03BEC"/>
    <w:rsid w:val="00F03EE3"/>
    <w:rsid w:val="00F04610"/>
    <w:rsid w:val="00F05721"/>
    <w:rsid w:val="00F05ABE"/>
    <w:rsid w:val="00F05EB0"/>
    <w:rsid w:val="00F06011"/>
    <w:rsid w:val="00F068EB"/>
    <w:rsid w:val="00F06FF0"/>
    <w:rsid w:val="00F07407"/>
    <w:rsid w:val="00F07711"/>
    <w:rsid w:val="00F0777C"/>
    <w:rsid w:val="00F10247"/>
    <w:rsid w:val="00F1036E"/>
    <w:rsid w:val="00F10521"/>
    <w:rsid w:val="00F10FBE"/>
    <w:rsid w:val="00F11947"/>
    <w:rsid w:val="00F122C9"/>
    <w:rsid w:val="00F12C81"/>
    <w:rsid w:val="00F1374A"/>
    <w:rsid w:val="00F137D0"/>
    <w:rsid w:val="00F13AF5"/>
    <w:rsid w:val="00F142D4"/>
    <w:rsid w:val="00F144AB"/>
    <w:rsid w:val="00F14921"/>
    <w:rsid w:val="00F1541A"/>
    <w:rsid w:val="00F1544A"/>
    <w:rsid w:val="00F155AD"/>
    <w:rsid w:val="00F15792"/>
    <w:rsid w:val="00F15875"/>
    <w:rsid w:val="00F15CC3"/>
    <w:rsid w:val="00F160B4"/>
    <w:rsid w:val="00F162A8"/>
    <w:rsid w:val="00F1669D"/>
    <w:rsid w:val="00F16D43"/>
    <w:rsid w:val="00F16DB0"/>
    <w:rsid w:val="00F1765A"/>
    <w:rsid w:val="00F177E3"/>
    <w:rsid w:val="00F17A44"/>
    <w:rsid w:val="00F17C01"/>
    <w:rsid w:val="00F20782"/>
    <w:rsid w:val="00F20BAA"/>
    <w:rsid w:val="00F20CF4"/>
    <w:rsid w:val="00F21789"/>
    <w:rsid w:val="00F21D34"/>
    <w:rsid w:val="00F225AC"/>
    <w:rsid w:val="00F22D2B"/>
    <w:rsid w:val="00F239CE"/>
    <w:rsid w:val="00F23C77"/>
    <w:rsid w:val="00F23C83"/>
    <w:rsid w:val="00F23C93"/>
    <w:rsid w:val="00F23FEC"/>
    <w:rsid w:val="00F24145"/>
    <w:rsid w:val="00F24791"/>
    <w:rsid w:val="00F2492F"/>
    <w:rsid w:val="00F24B97"/>
    <w:rsid w:val="00F24BE5"/>
    <w:rsid w:val="00F24C72"/>
    <w:rsid w:val="00F254E4"/>
    <w:rsid w:val="00F262AD"/>
    <w:rsid w:val="00F26338"/>
    <w:rsid w:val="00F267AF"/>
    <w:rsid w:val="00F2687E"/>
    <w:rsid w:val="00F271D7"/>
    <w:rsid w:val="00F27B2F"/>
    <w:rsid w:val="00F30A47"/>
    <w:rsid w:val="00F30F66"/>
    <w:rsid w:val="00F313C8"/>
    <w:rsid w:val="00F31435"/>
    <w:rsid w:val="00F3194B"/>
    <w:rsid w:val="00F3194C"/>
    <w:rsid w:val="00F31B2E"/>
    <w:rsid w:val="00F31B51"/>
    <w:rsid w:val="00F31B8A"/>
    <w:rsid w:val="00F32498"/>
    <w:rsid w:val="00F324E5"/>
    <w:rsid w:val="00F326C3"/>
    <w:rsid w:val="00F3299B"/>
    <w:rsid w:val="00F32BCB"/>
    <w:rsid w:val="00F32DDC"/>
    <w:rsid w:val="00F32F9D"/>
    <w:rsid w:val="00F33751"/>
    <w:rsid w:val="00F339E9"/>
    <w:rsid w:val="00F33B9D"/>
    <w:rsid w:val="00F33C95"/>
    <w:rsid w:val="00F3449F"/>
    <w:rsid w:val="00F346E9"/>
    <w:rsid w:val="00F34BD3"/>
    <w:rsid w:val="00F34CA4"/>
    <w:rsid w:val="00F350B2"/>
    <w:rsid w:val="00F35A94"/>
    <w:rsid w:val="00F35BAF"/>
    <w:rsid w:val="00F35C05"/>
    <w:rsid w:val="00F36519"/>
    <w:rsid w:val="00F36A21"/>
    <w:rsid w:val="00F36A34"/>
    <w:rsid w:val="00F36B3F"/>
    <w:rsid w:val="00F36FE9"/>
    <w:rsid w:val="00F40211"/>
    <w:rsid w:val="00F40871"/>
    <w:rsid w:val="00F40E18"/>
    <w:rsid w:val="00F40E6E"/>
    <w:rsid w:val="00F4144B"/>
    <w:rsid w:val="00F41B29"/>
    <w:rsid w:val="00F41CA0"/>
    <w:rsid w:val="00F41DB4"/>
    <w:rsid w:val="00F420D2"/>
    <w:rsid w:val="00F42420"/>
    <w:rsid w:val="00F42690"/>
    <w:rsid w:val="00F43880"/>
    <w:rsid w:val="00F439E1"/>
    <w:rsid w:val="00F43B8A"/>
    <w:rsid w:val="00F43C64"/>
    <w:rsid w:val="00F44457"/>
    <w:rsid w:val="00F445E0"/>
    <w:rsid w:val="00F44980"/>
    <w:rsid w:val="00F44A8C"/>
    <w:rsid w:val="00F44D48"/>
    <w:rsid w:val="00F45031"/>
    <w:rsid w:val="00F45456"/>
    <w:rsid w:val="00F454AD"/>
    <w:rsid w:val="00F454D9"/>
    <w:rsid w:val="00F45631"/>
    <w:rsid w:val="00F45669"/>
    <w:rsid w:val="00F456DC"/>
    <w:rsid w:val="00F4578D"/>
    <w:rsid w:val="00F45A2B"/>
    <w:rsid w:val="00F45B41"/>
    <w:rsid w:val="00F45BF1"/>
    <w:rsid w:val="00F460D2"/>
    <w:rsid w:val="00F4627D"/>
    <w:rsid w:val="00F465BD"/>
    <w:rsid w:val="00F4704A"/>
    <w:rsid w:val="00F471F7"/>
    <w:rsid w:val="00F473A2"/>
    <w:rsid w:val="00F47498"/>
    <w:rsid w:val="00F47627"/>
    <w:rsid w:val="00F4776B"/>
    <w:rsid w:val="00F478B6"/>
    <w:rsid w:val="00F47916"/>
    <w:rsid w:val="00F47A46"/>
    <w:rsid w:val="00F50028"/>
    <w:rsid w:val="00F503F6"/>
    <w:rsid w:val="00F5065C"/>
    <w:rsid w:val="00F508FB"/>
    <w:rsid w:val="00F50AD7"/>
    <w:rsid w:val="00F51582"/>
    <w:rsid w:val="00F51663"/>
    <w:rsid w:val="00F51887"/>
    <w:rsid w:val="00F51EF0"/>
    <w:rsid w:val="00F52627"/>
    <w:rsid w:val="00F526B2"/>
    <w:rsid w:val="00F529C0"/>
    <w:rsid w:val="00F52A56"/>
    <w:rsid w:val="00F533C9"/>
    <w:rsid w:val="00F5384A"/>
    <w:rsid w:val="00F53CA5"/>
    <w:rsid w:val="00F53F0C"/>
    <w:rsid w:val="00F54C05"/>
    <w:rsid w:val="00F550B5"/>
    <w:rsid w:val="00F55697"/>
    <w:rsid w:val="00F55729"/>
    <w:rsid w:val="00F558A5"/>
    <w:rsid w:val="00F55969"/>
    <w:rsid w:val="00F55C0D"/>
    <w:rsid w:val="00F56432"/>
    <w:rsid w:val="00F56947"/>
    <w:rsid w:val="00F56CF9"/>
    <w:rsid w:val="00F57323"/>
    <w:rsid w:val="00F57563"/>
    <w:rsid w:val="00F57604"/>
    <w:rsid w:val="00F57B06"/>
    <w:rsid w:val="00F57BC5"/>
    <w:rsid w:val="00F57F70"/>
    <w:rsid w:val="00F603A1"/>
    <w:rsid w:val="00F60414"/>
    <w:rsid w:val="00F60486"/>
    <w:rsid w:val="00F605B2"/>
    <w:rsid w:val="00F612BF"/>
    <w:rsid w:val="00F612DE"/>
    <w:rsid w:val="00F6199A"/>
    <w:rsid w:val="00F619E2"/>
    <w:rsid w:val="00F621E7"/>
    <w:rsid w:val="00F622D2"/>
    <w:rsid w:val="00F63026"/>
    <w:rsid w:val="00F6370C"/>
    <w:rsid w:val="00F63880"/>
    <w:rsid w:val="00F645B8"/>
    <w:rsid w:val="00F648CA"/>
    <w:rsid w:val="00F65114"/>
    <w:rsid w:val="00F65183"/>
    <w:rsid w:val="00F6641E"/>
    <w:rsid w:val="00F6689E"/>
    <w:rsid w:val="00F66C0B"/>
    <w:rsid w:val="00F67238"/>
    <w:rsid w:val="00F67904"/>
    <w:rsid w:val="00F67DED"/>
    <w:rsid w:val="00F67F0C"/>
    <w:rsid w:val="00F700FD"/>
    <w:rsid w:val="00F7019F"/>
    <w:rsid w:val="00F7054A"/>
    <w:rsid w:val="00F70597"/>
    <w:rsid w:val="00F708A6"/>
    <w:rsid w:val="00F70CB3"/>
    <w:rsid w:val="00F70E8F"/>
    <w:rsid w:val="00F7114F"/>
    <w:rsid w:val="00F715ED"/>
    <w:rsid w:val="00F7189B"/>
    <w:rsid w:val="00F72054"/>
    <w:rsid w:val="00F72136"/>
    <w:rsid w:val="00F72169"/>
    <w:rsid w:val="00F7253A"/>
    <w:rsid w:val="00F73137"/>
    <w:rsid w:val="00F73603"/>
    <w:rsid w:val="00F73B26"/>
    <w:rsid w:val="00F73E0B"/>
    <w:rsid w:val="00F73E16"/>
    <w:rsid w:val="00F73EEA"/>
    <w:rsid w:val="00F743AC"/>
    <w:rsid w:val="00F7440D"/>
    <w:rsid w:val="00F745AA"/>
    <w:rsid w:val="00F74677"/>
    <w:rsid w:val="00F746BF"/>
    <w:rsid w:val="00F74ACD"/>
    <w:rsid w:val="00F74BEA"/>
    <w:rsid w:val="00F74C80"/>
    <w:rsid w:val="00F751CA"/>
    <w:rsid w:val="00F75303"/>
    <w:rsid w:val="00F75407"/>
    <w:rsid w:val="00F757FF"/>
    <w:rsid w:val="00F75A14"/>
    <w:rsid w:val="00F76BD7"/>
    <w:rsid w:val="00F773BA"/>
    <w:rsid w:val="00F77466"/>
    <w:rsid w:val="00F80BE2"/>
    <w:rsid w:val="00F80CB4"/>
    <w:rsid w:val="00F80D8F"/>
    <w:rsid w:val="00F80F8C"/>
    <w:rsid w:val="00F819E5"/>
    <w:rsid w:val="00F81F83"/>
    <w:rsid w:val="00F82222"/>
    <w:rsid w:val="00F82458"/>
    <w:rsid w:val="00F827B3"/>
    <w:rsid w:val="00F82BB3"/>
    <w:rsid w:val="00F83952"/>
    <w:rsid w:val="00F83DD7"/>
    <w:rsid w:val="00F842C7"/>
    <w:rsid w:val="00F84729"/>
    <w:rsid w:val="00F8491D"/>
    <w:rsid w:val="00F84BAB"/>
    <w:rsid w:val="00F84D6E"/>
    <w:rsid w:val="00F84EAF"/>
    <w:rsid w:val="00F84EFC"/>
    <w:rsid w:val="00F85347"/>
    <w:rsid w:val="00F85A20"/>
    <w:rsid w:val="00F85FFC"/>
    <w:rsid w:val="00F86206"/>
    <w:rsid w:val="00F862D7"/>
    <w:rsid w:val="00F8638C"/>
    <w:rsid w:val="00F87215"/>
    <w:rsid w:val="00F87847"/>
    <w:rsid w:val="00F902E3"/>
    <w:rsid w:val="00F90418"/>
    <w:rsid w:val="00F90579"/>
    <w:rsid w:val="00F90816"/>
    <w:rsid w:val="00F90CFC"/>
    <w:rsid w:val="00F90E17"/>
    <w:rsid w:val="00F91B79"/>
    <w:rsid w:val="00F91F49"/>
    <w:rsid w:val="00F91F91"/>
    <w:rsid w:val="00F92099"/>
    <w:rsid w:val="00F92524"/>
    <w:rsid w:val="00F92585"/>
    <w:rsid w:val="00F926F4"/>
    <w:rsid w:val="00F92ECD"/>
    <w:rsid w:val="00F93342"/>
    <w:rsid w:val="00F9370C"/>
    <w:rsid w:val="00F938E7"/>
    <w:rsid w:val="00F93B65"/>
    <w:rsid w:val="00F93CC9"/>
    <w:rsid w:val="00F93D4D"/>
    <w:rsid w:val="00F94275"/>
    <w:rsid w:val="00F943CB"/>
    <w:rsid w:val="00F94471"/>
    <w:rsid w:val="00F945EA"/>
    <w:rsid w:val="00F948CA"/>
    <w:rsid w:val="00F949FC"/>
    <w:rsid w:val="00F9547B"/>
    <w:rsid w:val="00F9599D"/>
    <w:rsid w:val="00F96042"/>
    <w:rsid w:val="00F97375"/>
    <w:rsid w:val="00F975EA"/>
    <w:rsid w:val="00F97689"/>
    <w:rsid w:val="00F97877"/>
    <w:rsid w:val="00F97DB6"/>
    <w:rsid w:val="00FA01FE"/>
    <w:rsid w:val="00FA095B"/>
    <w:rsid w:val="00FA0AF6"/>
    <w:rsid w:val="00FA1031"/>
    <w:rsid w:val="00FA12F0"/>
    <w:rsid w:val="00FA1507"/>
    <w:rsid w:val="00FA15A0"/>
    <w:rsid w:val="00FA1F64"/>
    <w:rsid w:val="00FA211D"/>
    <w:rsid w:val="00FA2350"/>
    <w:rsid w:val="00FA2416"/>
    <w:rsid w:val="00FA2550"/>
    <w:rsid w:val="00FA2D86"/>
    <w:rsid w:val="00FA2DED"/>
    <w:rsid w:val="00FA2F02"/>
    <w:rsid w:val="00FA30F7"/>
    <w:rsid w:val="00FA33A6"/>
    <w:rsid w:val="00FA3CCE"/>
    <w:rsid w:val="00FA3D56"/>
    <w:rsid w:val="00FA3F2A"/>
    <w:rsid w:val="00FA4828"/>
    <w:rsid w:val="00FA4FA2"/>
    <w:rsid w:val="00FA5353"/>
    <w:rsid w:val="00FA5358"/>
    <w:rsid w:val="00FA559B"/>
    <w:rsid w:val="00FA56EC"/>
    <w:rsid w:val="00FA5B69"/>
    <w:rsid w:val="00FA624D"/>
    <w:rsid w:val="00FA62CC"/>
    <w:rsid w:val="00FA67F4"/>
    <w:rsid w:val="00FA67F9"/>
    <w:rsid w:val="00FA6A33"/>
    <w:rsid w:val="00FA6F6F"/>
    <w:rsid w:val="00FA7086"/>
    <w:rsid w:val="00FA7206"/>
    <w:rsid w:val="00FA733F"/>
    <w:rsid w:val="00FB0A9E"/>
    <w:rsid w:val="00FB14D1"/>
    <w:rsid w:val="00FB1838"/>
    <w:rsid w:val="00FB1F79"/>
    <w:rsid w:val="00FB22D9"/>
    <w:rsid w:val="00FB22DF"/>
    <w:rsid w:val="00FB238B"/>
    <w:rsid w:val="00FB249B"/>
    <w:rsid w:val="00FB24F0"/>
    <w:rsid w:val="00FB2548"/>
    <w:rsid w:val="00FB31EA"/>
    <w:rsid w:val="00FB34EB"/>
    <w:rsid w:val="00FB356C"/>
    <w:rsid w:val="00FB3775"/>
    <w:rsid w:val="00FB38A2"/>
    <w:rsid w:val="00FB39C3"/>
    <w:rsid w:val="00FB3D6B"/>
    <w:rsid w:val="00FB3F9D"/>
    <w:rsid w:val="00FB40A0"/>
    <w:rsid w:val="00FB4492"/>
    <w:rsid w:val="00FB47F4"/>
    <w:rsid w:val="00FB49E1"/>
    <w:rsid w:val="00FB4AF3"/>
    <w:rsid w:val="00FB5026"/>
    <w:rsid w:val="00FB526C"/>
    <w:rsid w:val="00FB56CB"/>
    <w:rsid w:val="00FB58BF"/>
    <w:rsid w:val="00FB5EF6"/>
    <w:rsid w:val="00FB606A"/>
    <w:rsid w:val="00FB6E98"/>
    <w:rsid w:val="00FB6EA5"/>
    <w:rsid w:val="00FB7887"/>
    <w:rsid w:val="00FB79C0"/>
    <w:rsid w:val="00FC03F9"/>
    <w:rsid w:val="00FC09AB"/>
    <w:rsid w:val="00FC1129"/>
    <w:rsid w:val="00FC113D"/>
    <w:rsid w:val="00FC164A"/>
    <w:rsid w:val="00FC1667"/>
    <w:rsid w:val="00FC185A"/>
    <w:rsid w:val="00FC1940"/>
    <w:rsid w:val="00FC1ABB"/>
    <w:rsid w:val="00FC24E9"/>
    <w:rsid w:val="00FC26FA"/>
    <w:rsid w:val="00FC2AEA"/>
    <w:rsid w:val="00FC2B0A"/>
    <w:rsid w:val="00FC2B60"/>
    <w:rsid w:val="00FC30FB"/>
    <w:rsid w:val="00FC34B3"/>
    <w:rsid w:val="00FC3EF0"/>
    <w:rsid w:val="00FC44A2"/>
    <w:rsid w:val="00FC45F7"/>
    <w:rsid w:val="00FC4CCA"/>
    <w:rsid w:val="00FC500B"/>
    <w:rsid w:val="00FC5424"/>
    <w:rsid w:val="00FC5576"/>
    <w:rsid w:val="00FC5ED2"/>
    <w:rsid w:val="00FC6CD3"/>
    <w:rsid w:val="00FC6FC2"/>
    <w:rsid w:val="00FC715A"/>
    <w:rsid w:val="00FC75F7"/>
    <w:rsid w:val="00FD01BA"/>
    <w:rsid w:val="00FD037B"/>
    <w:rsid w:val="00FD0A6C"/>
    <w:rsid w:val="00FD0A83"/>
    <w:rsid w:val="00FD1089"/>
    <w:rsid w:val="00FD1A62"/>
    <w:rsid w:val="00FD1C1D"/>
    <w:rsid w:val="00FD2215"/>
    <w:rsid w:val="00FD23BD"/>
    <w:rsid w:val="00FD2801"/>
    <w:rsid w:val="00FD2EDC"/>
    <w:rsid w:val="00FD355B"/>
    <w:rsid w:val="00FD3852"/>
    <w:rsid w:val="00FD3F2D"/>
    <w:rsid w:val="00FD444E"/>
    <w:rsid w:val="00FD47E0"/>
    <w:rsid w:val="00FD482D"/>
    <w:rsid w:val="00FD5428"/>
    <w:rsid w:val="00FD56E0"/>
    <w:rsid w:val="00FD6066"/>
    <w:rsid w:val="00FD6F93"/>
    <w:rsid w:val="00FD708D"/>
    <w:rsid w:val="00FD7604"/>
    <w:rsid w:val="00FD79DE"/>
    <w:rsid w:val="00FD7B44"/>
    <w:rsid w:val="00FD7C61"/>
    <w:rsid w:val="00FE0A04"/>
    <w:rsid w:val="00FE106A"/>
    <w:rsid w:val="00FE120B"/>
    <w:rsid w:val="00FE136A"/>
    <w:rsid w:val="00FE1952"/>
    <w:rsid w:val="00FE2089"/>
    <w:rsid w:val="00FE253A"/>
    <w:rsid w:val="00FE2806"/>
    <w:rsid w:val="00FE2B91"/>
    <w:rsid w:val="00FE2D20"/>
    <w:rsid w:val="00FE2D35"/>
    <w:rsid w:val="00FE2DC7"/>
    <w:rsid w:val="00FE3638"/>
    <w:rsid w:val="00FE3A73"/>
    <w:rsid w:val="00FE3E6B"/>
    <w:rsid w:val="00FE4058"/>
    <w:rsid w:val="00FE4522"/>
    <w:rsid w:val="00FE4EEB"/>
    <w:rsid w:val="00FE5263"/>
    <w:rsid w:val="00FE6326"/>
    <w:rsid w:val="00FE6412"/>
    <w:rsid w:val="00FE64DE"/>
    <w:rsid w:val="00FE677F"/>
    <w:rsid w:val="00FE688D"/>
    <w:rsid w:val="00FE68F8"/>
    <w:rsid w:val="00FE6CE6"/>
    <w:rsid w:val="00FE6D7B"/>
    <w:rsid w:val="00FE6E40"/>
    <w:rsid w:val="00FE6F8D"/>
    <w:rsid w:val="00FE7276"/>
    <w:rsid w:val="00FE7417"/>
    <w:rsid w:val="00FE7918"/>
    <w:rsid w:val="00FE7D7E"/>
    <w:rsid w:val="00FE7EB3"/>
    <w:rsid w:val="00FF0E33"/>
    <w:rsid w:val="00FF0E61"/>
    <w:rsid w:val="00FF15A1"/>
    <w:rsid w:val="00FF19FE"/>
    <w:rsid w:val="00FF1AF6"/>
    <w:rsid w:val="00FF1DCE"/>
    <w:rsid w:val="00FF2190"/>
    <w:rsid w:val="00FF271E"/>
    <w:rsid w:val="00FF2D46"/>
    <w:rsid w:val="00FF3126"/>
    <w:rsid w:val="00FF35AE"/>
    <w:rsid w:val="00FF384B"/>
    <w:rsid w:val="00FF3BAF"/>
    <w:rsid w:val="00FF3CDE"/>
    <w:rsid w:val="00FF4234"/>
    <w:rsid w:val="00FF43F9"/>
    <w:rsid w:val="00FF46D9"/>
    <w:rsid w:val="00FF4E63"/>
    <w:rsid w:val="00FF516F"/>
    <w:rsid w:val="00FF54EA"/>
    <w:rsid w:val="00FF5584"/>
    <w:rsid w:val="00FF5A3A"/>
    <w:rsid w:val="00FF5E0D"/>
    <w:rsid w:val="00FF5F9E"/>
    <w:rsid w:val="00FF6D77"/>
    <w:rsid w:val="00FF6F08"/>
    <w:rsid w:val="00FF75CE"/>
    <w:rsid w:val="00FF7690"/>
    <w:rsid w:val="00FF7784"/>
    <w:rsid w:val="00FF7A6F"/>
    <w:rsid w:val="00FF7EF3"/>
    <w:rsid w:val="03587FF7"/>
    <w:rsid w:val="05D05E1B"/>
    <w:rsid w:val="09846EBE"/>
    <w:rsid w:val="10208C4B"/>
    <w:rsid w:val="11B2023F"/>
    <w:rsid w:val="1CD01ED7"/>
    <w:rsid w:val="1FF5CA55"/>
    <w:rsid w:val="225547ED"/>
    <w:rsid w:val="243B8E08"/>
    <w:rsid w:val="29CFCFE6"/>
    <w:rsid w:val="2DCE0811"/>
    <w:rsid w:val="307FE3AE"/>
    <w:rsid w:val="3ABB02E0"/>
    <w:rsid w:val="3AEE222D"/>
    <w:rsid w:val="3DA34311"/>
    <w:rsid w:val="46468BC2"/>
    <w:rsid w:val="4E3E0BD3"/>
    <w:rsid w:val="57581CD6"/>
    <w:rsid w:val="5FBAF174"/>
    <w:rsid w:val="67B6362B"/>
    <w:rsid w:val="67C0F257"/>
    <w:rsid w:val="687069FD"/>
    <w:rsid w:val="6A332D8A"/>
    <w:rsid w:val="72E7E769"/>
    <w:rsid w:val="77A38970"/>
    <w:rsid w:val="7AB58DDE"/>
    <w:rsid w:val="7ACD3E69"/>
    <w:rsid w:val="7BEB35BA"/>
    <w:rsid w:val="7EBC9FB4"/>
    <w:rsid w:val="7F2577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A9A74"/>
  <w15:docId w15:val="{B573C98D-96A0-4A1D-87EE-9EB10A37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AC"/>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3D2141"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2E1A47"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unhideWhenUsed/>
    <w:qFormat/>
    <w:rsid w:val="00EB790B"/>
    <w:pPr>
      <w:keepNext/>
      <w:keepLines/>
      <w:spacing w:before="40" w:after="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qFormat/>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3D2141" w:themeColor="accent1" w:themeShade="80"/>
      <w:sz w:val="32"/>
      <w:szCs w:val="26"/>
      <w:lang w:eastAsia="zh-CN"/>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pPr>
  </w:style>
  <w:style w:type="paragraph" w:customStyle="1" w:styleId="NumberedList">
    <w:name w:val="NumberedList"/>
    <w:basedOn w:val="ListParagraph"/>
    <w:qFormat/>
    <w:rsid w:val="00F23FEC"/>
    <w:pPr>
      <w:numPr>
        <w:numId w:val="2"/>
      </w:numPr>
      <w:ind w:left="993" w:hanging="426"/>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2E1A47"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 w:type="paragraph" w:styleId="Revision">
    <w:name w:val="Revision"/>
    <w:hidden/>
    <w:uiPriority w:val="99"/>
    <w:semiHidden/>
    <w:rsid w:val="00BB637E"/>
    <w:pPr>
      <w:spacing w:after="0" w:line="240" w:lineRule="auto"/>
    </w:pPr>
    <w:rPr>
      <w:rFonts w:ascii="Verdana" w:hAnsi="Verdana"/>
      <w:color w:val="000000" w:themeColor="text1"/>
      <w:sz w:val="20"/>
      <w:szCs w:val="20"/>
    </w:rPr>
  </w:style>
  <w:style w:type="paragraph" w:customStyle="1" w:styleId="Default">
    <w:name w:val="Default"/>
    <w:rsid w:val="00D92ABC"/>
    <w:pPr>
      <w:autoSpaceDE w:val="0"/>
      <w:autoSpaceDN w:val="0"/>
      <w:adjustRightInd w:val="0"/>
      <w:spacing w:after="0" w:line="240" w:lineRule="auto"/>
    </w:pPr>
    <w:rPr>
      <w:rFonts w:ascii="Verdana" w:hAnsi="Verdana" w:cs="Verdana"/>
      <w:color w:val="000000"/>
      <w:sz w:val="24"/>
      <w:szCs w:val="24"/>
    </w:rPr>
  </w:style>
  <w:style w:type="paragraph" w:customStyle="1" w:styleId="Pa2">
    <w:name w:val="Pa2"/>
    <w:basedOn w:val="Default"/>
    <w:next w:val="Default"/>
    <w:uiPriority w:val="99"/>
    <w:rsid w:val="00D92ABC"/>
    <w:pPr>
      <w:spacing w:line="141" w:lineRule="atLeast"/>
    </w:pPr>
    <w:rPr>
      <w:rFonts w:ascii="AU Sans BETA Text Medium" w:hAnsi="AU Sans BETA Text Medium" w:cstheme="minorBidi"/>
      <w:color w:val="auto"/>
    </w:rPr>
  </w:style>
  <w:style w:type="paragraph" w:styleId="TOCHeading">
    <w:name w:val="TOC Heading"/>
    <w:basedOn w:val="Heading1"/>
    <w:next w:val="Normal"/>
    <w:uiPriority w:val="39"/>
    <w:unhideWhenUsed/>
    <w:qFormat/>
    <w:rsid w:val="00C82869"/>
    <w:pPr>
      <w:keepNext/>
      <w:keepLines/>
      <w:spacing w:before="240" w:after="0" w:line="259" w:lineRule="auto"/>
      <w:outlineLvl w:val="9"/>
    </w:pPr>
    <w:rPr>
      <w:rFonts w:asciiTheme="majorHAnsi" w:eastAsiaTheme="majorEastAsia" w:hAnsiTheme="majorHAnsi" w:cstheme="majorBidi"/>
      <w:bCs w:val="0"/>
      <w:color w:val="5B3161" w:themeColor="accent1" w:themeShade="BF"/>
      <w:sz w:val="32"/>
      <w:szCs w:val="32"/>
      <w:lang w:val="en-US" w:eastAsia="en-US"/>
    </w:rPr>
  </w:style>
  <w:style w:type="paragraph" w:styleId="TOC1">
    <w:name w:val="toc 1"/>
    <w:basedOn w:val="Normal"/>
    <w:next w:val="Normal"/>
    <w:autoRedefine/>
    <w:uiPriority w:val="39"/>
    <w:unhideWhenUsed/>
    <w:rsid w:val="00C82869"/>
    <w:pPr>
      <w:spacing w:after="100"/>
    </w:pPr>
  </w:style>
  <w:style w:type="paragraph" w:styleId="TOC2">
    <w:name w:val="toc 2"/>
    <w:basedOn w:val="Normal"/>
    <w:next w:val="Normal"/>
    <w:autoRedefine/>
    <w:uiPriority w:val="39"/>
    <w:unhideWhenUsed/>
    <w:rsid w:val="00C82869"/>
    <w:pPr>
      <w:spacing w:after="100"/>
      <w:ind w:left="200"/>
    </w:pPr>
  </w:style>
  <w:style w:type="paragraph" w:styleId="TOC3">
    <w:name w:val="toc 3"/>
    <w:basedOn w:val="Normal"/>
    <w:next w:val="Normal"/>
    <w:autoRedefine/>
    <w:uiPriority w:val="39"/>
    <w:unhideWhenUsed/>
    <w:rsid w:val="000E7F75"/>
    <w:pPr>
      <w:tabs>
        <w:tab w:val="right" w:leader="dot" w:pos="9958"/>
      </w:tabs>
      <w:spacing w:after="100"/>
      <w:ind w:left="200"/>
    </w:pPr>
  </w:style>
  <w:style w:type="paragraph" w:styleId="FootnoteText">
    <w:name w:val="footnote text"/>
    <w:basedOn w:val="Normal"/>
    <w:link w:val="FootnoteTextChar"/>
    <w:uiPriority w:val="99"/>
    <w:unhideWhenUsed/>
    <w:rsid w:val="00DF4E6B"/>
    <w:pPr>
      <w:spacing w:after="0" w:line="240" w:lineRule="auto"/>
    </w:pPr>
    <w:rPr>
      <w:rFonts w:eastAsia="Verdana" w:cs="Times New Roman"/>
    </w:rPr>
  </w:style>
  <w:style w:type="character" w:customStyle="1" w:styleId="FootnoteTextChar">
    <w:name w:val="Footnote Text Char"/>
    <w:basedOn w:val="DefaultParagraphFont"/>
    <w:link w:val="FootnoteText"/>
    <w:uiPriority w:val="99"/>
    <w:rsid w:val="00DF4E6B"/>
    <w:rPr>
      <w:rFonts w:ascii="Verdana" w:eastAsia="Verdana" w:hAnsi="Verdana" w:cs="Times New Roman"/>
      <w:color w:val="000000" w:themeColor="text1"/>
      <w:sz w:val="20"/>
      <w:szCs w:val="20"/>
    </w:rPr>
  </w:style>
  <w:style w:type="character" w:styleId="FootnoteReference">
    <w:name w:val="footnote reference"/>
    <w:basedOn w:val="DefaultParagraphFont"/>
    <w:uiPriority w:val="99"/>
    <w:semiHidden/>
    <w:unhideWhenUsed/>
    <w:rsid w:val="00DF4E6B"/>
    <w:rPr>
      <w:vertAlign w:val="superscript"/>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qFormat/>
    <w:locked/>
    <w:rsid w:val="006B7C3B"/>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051F20"/>
    <w:rPr>
      <w:color w:val="605E5C"/>
      <w:shd w:val="clear" w:color="auto" w:fill="E1DFDD"/>
    </w:rPr>
  </w:style>
  <w:style w:type="paragraph" w:styleId="NormalWeb">
    <w:name w:val="Normal (Web)"/>
    <w:basedOn w:val="Normal"/>
    <w:uiPriority w:val="99"/>
    <w:semiHidden/>
    <w:unhideWhenUsed/>
    <w:rsid w:val="0040743C"/>
    <w:rPr>
      <w:rFonts w:ascii="Times New Roman" w:hAnsi="Times New Roman" w:cs="Times New Roman"/>
      <w:sz w:val="24"/>
      <w:szCs w:val="24"/>
    </w:rPr>
  </w:style>
  <w:style w:type="character" w:styleId="Mention">
    <w:name w:val="Mention"/>
    <w:basedOn w:val="DefaultParagraphFont"/>
    <w:uiPriority w:val="99"/>
    <w:unhideWhenUsed/>
    <w:rsid w:val="00AF0338"/>
    <w:rPr>
      <w:color w:val="2B579A"/>
      <w:shd w:val="clear" w:color="auto" w:fill="E1DFDD"/>
    </w:rPr>
  </w:style>
  <w:style w:type="table" w:styleId="PlainTable1">
    <w:name w:val="Plain Table 1"/>
    <w:basedOn w:val="TableNormal"/>
    <w:uiPriority w:val="41"/>
    <w:rsid w:val="00AF0338"/>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2">
    <w:name w:val="List Table 3 Accent 2"/>
    <w:basedOn w:val="TableNormal"/>
    <w:uiPriority w:val="48"/>
    <w:rsid w:val="00470DB1"/>
    <w:pPr>
      <w:spacing w:after="0" w:line="240" w:lineRule="auto"/>
    </w:pPr>
    <w:tblPr>
      <w:tblStyleRowBandSize w:val="1"/>
      <w:tblStyleColBandSize w:val="1"/>
      <w:tblBorders>
        <w:top w:val="single" w:sz="4" w:space="0" w:color="2E1A47" w:themeColor="accent2"/>
        <w:left w:val="single" w:sz="4" w:space="0" w:color="2E1A47" w:themeColor="accent2"/>
        <w:bottom w:val="single" w:sz="4" w:space="0" w:color="2E1A47" w:themeColor="accent2"/>
        <w:right w:val="single" w:sz="4" w:space="0" w:color="2E1A47" w:themeColor="accent2"/>
      </w:tblBorders>
    </w:tblPr>
    <w:tblStylePr w:type="firstRow">
      <w:rPr>
        <w:b/>
        <w:bCs/>
        <w:color w:val="FFFFFF" w:themeColor="background1"/>
      </w:rPr>
      <w:tblPr/>
      <w:tcPr>
        <w:shd w:val="clear" w:color="auto" w:fill="2E1A47" w:themeFill="accent2"/>
      </w:tcPr>
    </w:tblStylePr>
    <w:tblStylePr w:type="lastRow">
      <w:rPr>
        <w:b/>
        <w:bCs/>
      </w:rPr>
      <w:tblPr/>
      <w:tcPr>
        <w:tcBorders>
          <w:top w:val="double" w:sz="4" w:space="0" w:color="2E1A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1A47" w:themeColor="accent2"/>
          <w:right w:val="single" w:sz="4" w:space="0" w:color="2E1A47" w:themeColor="accent2"/>
        </w:tcBorders>
      </w:tcPr>
    </w:tblStylePr>
    <w:tblStylePr w:type="band1Horz">
      <w:tblPr/>
      <w:tcPr>
        <w:tcBorders>
          <w:top w:val="single" w:sz="4" w:space="0" w:color="2E1A47" w:themeColor="accent2"/>
          <w:bottom w:val="single" w:sz="4" w:space="0" w:color="2E1A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1A47" w:themeColor="accent2"/>
          <w:left w:val="nil"/>
        </w:tcBorders>
      </w:tcPr>
    </w:tblStylePr>
    <w:tblStylePr w:type="swCell">
      <w:tblPr/>
      <w:tcPr>
        <w:tcBorders>
          <w:top w:val="double" w:sz="4" w:space="0" w:color="2E1A47" w:themeColor="accent2"/>
          <w:right w:val="nil"/>
        </w:tcBorders>
      </w:tcPr>
    </w:tblStylePr>
  </w:style>
  <w:style w:type="table" w:styleId="ListTable6Colorful-Accent2">
    <w:name w:val="List Table 6 Colorful Accent 2"/>
    <w:basedOn w:val="TableNormal"/>
    <w:uiPriority w:val="51"/>
    <w:rsid w:val="008F1BC9"/>
    <w:pPr>
      <w:spacing w:after="0" w:line="240" w:lineRule="auto"/>
    </w:pPr>
    <w:rPr>
      <w:color w:val="221334" w:themeColor="accent2" w:themeShade="BF"/>
    </w:rPr>
    <w:tblPr>
      <w:tblStyleRowBandSize w:val="1"/>
      <w:tblStyleColBandSize w:val="1"/>
      <w:tblBorders>
        <w:top w:val="single" w:sz="4" w:space="0" w:color="2E1A47" w:themeColor="accent2"/>
        <w:bottom w:val="single" w:sz="4" w:space="0" w:color="2E1A47" w:themeColor="accent2"/>
      </w:tblBorders>
    </w:tblPr>
    <w:tblStylePr w:type="firstRow">
      <w:rPr>
        <w:b/>
        <w:bCs/>
      </w:rPr>
      <w:tblPr/>
      <w:tcPr>
        <w:tcBorders>
          <w:bottom w:val="single" w:sz="4" w:space="0" w:color="2E1A47" w:themeColor="accent2"/>
        </w:tcBorders>
      </w:tcPr>
    </w:tblStylePr>
    <w:tblStylePr w:type="lastRow">
      <w:rPr>
        <w:b/>
        <w:bCs/>
      </w:rPr>
      <w:tblPr/>
      <w:tcPr>
        <w:tcBorders>
          <w:top w:val="double" w:sz="4" w:space="0" w:color="2E1A47" w:themeColor="accent2"/>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paragraph" w:styleId="ListBullet">
    <w:name w:val="List Bullet"/>
    <w:basedOn w:val="Normal"/>
    <w:uiPriority w:val="99"/>
    <w:unhideWhenUsed/>
    <w:qFormat/>
    <w:rsid w:val="0037231F"/>
    <w:pPr>
      <w:numPr>
        <w:numId w:val="55"/>
      </w:numPr>
      <w:snapToGrid w:val="0"/>
      <w:spacing w:after="40" w:line="252" w:lineRule="auto"/>
    </w:pPr>
    <w:rPr>
      <w:rFonts w:asciiTheme="minorHAnsi" w:eastAsiaTheme="minorEastAsia" w:hAnsiTheme="minorHAnsi"/>
      <w:color w:val="auto"/>
      <w:lang w:eastAsia="zh-CN"/>
    </w:rPr>
  </w:style>
  <w:style w:type="paragraph" w:styleId="ListBullet2">
    <w:name w:val="List Bullet 2"/>
    <w:basedOn w:val="Normal"/>
    <w:uiPriority w:val="99"/>
    <w:unhideWhenUsed/>
    <w:qFormat/>
    <w:rsid w:val="0037231F"/>
    <w:pPr>
      <w:numPr>
        <w:ilvl w:val="1"/>
        <w:numId w:val="55"/>
      </w:numPr>
      <w:snapToGrid w:val="0"/>
      <w:spacing w:after="40" w:line="252" w:lineRule="auto"/>
    </w:pPr>
    <w:rPr>
      <w:rFonts w:asciiTheme="minorHAnsi" w:eastAsiaTheme="minorEastAsia" w:hAnsiTheme="minorHAnsi"/>
      <w:color w:val="auto"/>
      <w:lang w:eastAsia="zh-CN"/>
    </w:rPr>
  </w:style>
  <w:style w:type="paragraph" w:styleId="ListBullet3">
    <w:name w:val="List Bullet 3"/>
    <w:basedOn w:val="Normal"/>
    <w:uiPriority w:val="99"/>
    <w:unhideWhenUsed/>
    <w:qFormat/>
    <w:rsid w:val="0037231F"/>
    <w:pPr>
      <w:numPr>
        <w:ilvl w:val="2"/>
        <w:numId w:val="55"/>
      </w:numPr>
      <w:snapToGrid w:val="0"/>
      <w:spacing w:after="40" w:line="252" w:lineRule="auto"/>
    </w:pPr>
    <w:rPr>
      <w:rFonts w:asciiTheme="minorHAnsi" w:eastAsiaTheme="minorEastAsia" w:hAnsiTheme="minorHAnsi"/>
      <w:color w:val="auto"/>
      <w:lang w:eastAsia="zh-CN"/>
    </w:rPr>
  </w:style>
  <w:style w:type="paragraph" w:styleId="Caption">
    <w:name w:val="caption"/>
    <w:basedOn w:val="Normal"/>
    <w:next w:val="Normal"/>
    <w:uiPriority w:val="35"/>
    <w:unhideWhenUsed/>
    <w:qFormat/>
    <w:rsid w:val="00EB790B"/>
    <w:pPr>
      <w:spacing w:line="240" w:lineRule="auto"/>
    </w:pPr>
    <w:rPr>
      <w:rFonts w:asciiTheme="minorHAnsi" w:eastAsiaTheme="minorEastAsia" w:hAnsiTheme="minorHAnsi"/>
      <w:i/>
      <w:iCs/>
      <w:color w:val="2E1A47" w:themeColor="text2"/>
      <w:sz w:val="18"/>
      <w:szCs w:val="18"/>
      <w:lang w:eastAsia="zh-CN"/>
    </w:rPr>
  </w:style>
  <w:style w:type="character" w:customStyle="1" w:styleId="Heading5Char">
    <w:name w:val="Heading 5 Char"/>
    <w:basedOn w:val="DefaultParagraphFont"/>
    <w:link w:val="Heading5"/>
    <w:uiPriority w:val="9"/>
    <w:rsid w:val="00EB790B"/>
    <w:rPr>
      <w:rFonts w:asciiTheme="majorHAnsi" w:eastAsiaTheme="majorEastAsia" w:hAnsiTheme="majorHAnsi" w:cstheme="majorBidi"/>
      <w:color w:val="5B3161" w:themeColor="accent1" w:themeShade="BF"/>
      <w:sz w:val="20"/>
      <w:szCs w:val="20"/>
    </w:rPr>
  </w:style>
  <w:style w:type="paragraph" w:styleId="EndnoteText">
    <w:name w:val="endnote text"/>
    <w:basedOn w:val="Normal"/>
    <w:link w:val="EndnoteTextChar"/>
    <w:uiPriority w:val="99"/>
    <w:semiHidden/>
    <w:unhideWhenUsed/>
    <w:rsid w:val="00EB790B"/>
    <w:pPr>
      <w:spacing w:after="0" w:line="240" w:lineRule="auto"/>
    </w:pPr>
  </w:style>
  <w:style w:type="character" w:customStyle="1" w:styleId="EndnoteTextChar">
    <w:name w:val="Endnote Text Char"/>
    <w:basedOn w:val="DefaultParagraphFont"/>
    <w:link w:val="EndnoteText"/>
    <w:uiPriority w:val="99"/>
    <w:semiHidden/>
    <w:rsid w:val="00EB790B"/>
    <w:rPr>
      <w:rFonts w:ascii="Verdana" w:hAnsi="Verdana"/>
      <w:color w:val="000000" w:themeColor="text1"/>
      <w:sz w:val="20"/>
      <w:szCs w:val="20"/>
    </w:rPr>
  </w:style>
  <w:style w:type="character" w:styleId="EndnoteReference">
    <w:name w:val="endnote reference"/>
    <w:basedOn w:val="DefaultParagraphFont"/>
    <w:uiPriority w:val="99"/>
    <w:semiHidden/>
    <w:unhideWhenUsed/>
    <w:rsid w:val="00EB790B"/>
    <w:rPr>
      <w:vertAlign w:val="superscript"/>
    </w:rPr>
  </w:style>
  <w:style w:type="character" w:customStyle="1" w:styleId="cf01">
    <w:name w:val="cf01"/>
    <w:basedOn w:val="DefaultParagraphFont"/>
    <w:rsid w:val="00EB79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6655">
      <w:bodyDiv w:val="1"/>
      <w:marLeft w:val="0"/>
      <w:marRight w:val="0"/>
      <w:marTop w:val="0"/>
      <w:marBottom w:val="0"/>
      <w:divBdr>
        <w:top w:val="none" w:sz="0" w:space="0" w:color="auto"/>
        <w:left w:val="none" w:sz="0" w:space="0" w:color="auto"/>
        <w:bottom w:val="none" w:sz="0" w:space="0" w:color="auto"/>
        <w:right w:val="none" w:sz="0" w:space="0" w:color="auto"/>
      </w:divBdr>
    </w:div>
    <w:div w:id="147594436">
      <w:bodyDiv w:val="1"/>
      <w:marLeft w:val="0"/>
      <w:marRight w:val="0"/>
      <w:marTop w:val="0"/>
      <w:marBottom w:val="0"/>
      <w:divBdr>
        <w:top w:val="none" w:sz="0" w:space="0" w:color="auto"/>
        <w:left w:val="none" w:sz="0" w:space="0" w:color="auto"/>
        <w:bottom w:val="none" w:sz="0" w:space="0" w:color="auto"/>
        <w:right w:val="none" w:sz="0" w:space="0" w:color="auto"/>
      </w:divBdr>
    </w:div>
    <w:div w:id="284429570">
      <w:bodyDiv w:val="1"/>
      <w:marLeft w:val="0"/>
      <w:marRight w:val="0"/>
      <w:marTop w:val="0"/>
      <w:marBottom w:val="0"/>
      <w:divBdr>
        <w:top w:val="none" w:sz="0" w:space="0" w:color="auto"/>
        <w:left w:val="none" w:sz="0" w:space="0" w:color="auto"/>
        <w:bottom w:val="none" w:sz="0" w:space="0" w:color="auto"/>
        <w:right w:val="none" w:sz="0" w:space="0" w:color="auto"/>
      </w:divBdr>
    </w:div>
    <w:div w:id="324019709">
      <w:bodyDiv w:val="1"/>
      <w:marLeft w:val="0"/>
      <w:marRight w:val="0"/>
      <w:marTop w:val="0"/>
      <w:marBottom w:val="0"/>
      <w:divBdr>
        <w:top w:val="none" w:sz="0" w:space="0" w:color="auto"/>
        <w:left w:val="none" w:sz="0" w:space="0" w:color="auto"/>
        <w:bottom w:val="none" w:sz="0" w:space="0" w:color="auto"/>
        <w:right w:val="none" w:sz="0" w:space="0" w:color="auto"/>
      </w:divBdr>
    </w:div>
    <w:div w:id="364720639">
      <w:bodyDiv w:val="1"/>
      <w:marLeft w:val="0"/>
      <w:marRight w:val="0"/>
      <w:marTop w:val="0"/>
      <w:marBottom w:val="0"/>
      <w:divBdr>
        <w:top w:val="none" w:sz="0" w:space="0" w:color="auto"/>
        <w:left w:val="none" w:sz="0" w:space="0" w:color="auto"/>
        <w:bottom w:val="none" w:sz="0" w:space="0" w:color="auto"/>
        <w:right w:val="none" w:sz="0" w:space="0" w:color="auto"/>
      </w:divBdr>
    </w:div>
    <w:div w:id="367216896">
      <w:bodyDiv w:val="1"/>
      <w:marLeft w:val="0"/>
      <w:marRight w:val="0"/>
      <w:marTop w:val="0"/>
      <w:marBottom w:val="0"/>
      <w:divBdr>
        <w:top w:val="none" w:sz="0" w:space="0" w:color="auto"/>
        <w:left w:val="none" w:sz="0" w:space="0" w:color="auto"/>
        <w:bottom w:val="none" w:sz="0" w:space="0" w:color="auto"/>
        <w:right w:val="none" w:sz="0" w:space="0" w:color="auto"/>
      </w:divBdr>
    </w:div>
    <w:div w:id="388918622">
      <w:bodyDiv w:val="1"/>
      <w:marLeft w:val="0"/>
      <w:marRight w:val="0"/>
      <w:marTop w:val="0"/>
      <w:marBottom w:val="0"/>
      <w:divBdr>
        <w:top w:val="none" w:sz="0" w:space="0" w:color="auto"/>
        <w:left w:val="none" w:sz="0" w:space="0" w:color="auto"/>
        <w:bottom w:val="none" w:sz="0" w:space="0" w:color="auto"/>
        <w:right w:val="none" w:sz="0" w:space="0" w:color="auto"/>
      </w:divBdr>
    </w:div>
    <w:div w:id="400374800">
      <w:bodyDiv w:val="1"/>
      <w:marLeft w:val="0"/>
      <w:marRight w:val="0"/>
      <w:marTop w:val="0"/>
      <w:marBottom w:val="0"/>
      <w:divBdr>
        <w:top w:val="none" w:sz="0" w:space="0" w:color="auto"/>
        <w:left w:val="none" w:sz="0" w:space="0" w:color="auto"/>
        <w:bottom w:val="none" w:sz="0" w:space="0" w:color="auto"/>
        <w:right w:val="none" w:sz="0" w:space="0" w:color="auto"/>
      </w:divBdr>
    </w:div>
    <w:div w:id="404491901">
      <w:bodyDiv w:val="1"/>
      <w:marLeft w:val="0"/>
      <w:marRight w:val="0"/>
      <w:marTop w:val="0"/>
      <w:marBottom w:val="0"/>
      <w:divBdr>
        <w:top w:val="none" w:sz="0" w:space="0" w:color="auto"/>
        <w:left w:val="none" w:sz="0" w:space="0" w:color="auto"/>
        <w:bottom w:val="none" w:sz="0" w:space="0" w:color="auto"/>
        <w:right w:val="none" w:sz="0" w:space="0" w:color="auto"/>
      </w:divBdr>
      <w:divsChild>
        <w:div w:id="28072758">
          <w:marLeft w:val="432"/>
          <w:marRight w:val="0"/>
          <w:marTop w:val="0"/>
          <w:marBottom w:val="160"/>
          <w:divBdr>
            <w:top w:val="none" w:sz="0" w:space="0" w:color="auto"/>
            <w:left w:val="none" w:sz="0" w:space="0" w:color="auto"/>
            <w:bottom w:val="none" w:sz="0" w:space="0" w:color="auto"/>
            <w:right w:val="none" w:sz="0" w:space="0" w:color="auto"/>
          </w:divBdr>
        </w:div>
        <w:div w:id="162936424">
          <w:marLeft w:val="850"/>
          <w:marRight w:val="0"/>
          <w:marTop w:val="0"/>
          <w:marBottom w:val="160"/>
          <w:divBdr>
            <w:top w:val="none" w:sz="0" w:space="0" w:color="auto"/>
            <w:left w:val="none" w:sz="0" w:space="0" w:color="auto"/>
            <w:bottom w:val="none" w:sz="0" w:space="0" w:color="auto"/>
            <w:right w:val="none" w:sz="0" w:space="0" w:color="auto"/>
          </w:divBdr>
        </w:div>
        <w:div w:id="705059905">
          <w:marLeft w:val="850"/>
          <w:marRight w:val="0"/>
          <w:marTop w:val="0"/>
          <w:marBottom w:val="160"/>
          <w:divBdr>
            <w:top w:val="none" w:sz="0" w:space="0" w:color="auto"/>
            <w:left w:val="none" w:sz="0" w:space="0" w:color="auto"/>
            <w:bottom w:val="none" w:sz="0" w:space="0" w:color="auto"/>
            <w:right w:val="none" w:sz="0" w:space="0" w:color="auto"/>
          </w:divBdr>
        </w:div>
        <w:div w:id="969553188">
          <w:marLeft w:val="432"/>
          <w:marRight w:val="0"/>
          <w:marTop w:val="0"/>
          <w:marBottom w:val="160"/>
          <w:divBdr>
            <w:top w:val="none" w:sz="0" w:space="0" w:color="auto"/>
            <w:left w:val="none" w:sz="0" w:space="0" w:color="auto"/>
            <w:bottom w:val="none" w:sz="0" w:space="0" w:color="auto"/>
            <w:right w:val="none" w:sz="0" w:space="0" w:color="auto"/>
          </w:divBdr>
        </w:div>
        <w:div w:id="1396469265">
          <w:marLeft w:val="850"/>
          <w:marRight w:val="0"/>
          <w:marTop w:val="0"/>
          <w:marBottom w:val="160"/>
          <w:divBdr>
            <w:top w:val="none" w:sz="0" w:space="0" w:color="auto"/>
            <w:left w:val="none" w:sz="0" w:space="0" w:color="auto"/>
            <w:bottom w:val="none" w:sz="0" w:space="0" w:color="auto"/>
            <w:right w:val="none" w:sz="0" w:space="0" w:color="auto"/>
          </w:divBdr>
        </w:div>
        <w:div w:id="1912235193">
          <w:marLeft w:val="850"/>
          <w:marRight w:val="0"/>
          <w:marTop w:val="0"/>
          <w:marBottom w:val="160"/>
          <w:divBdr>
            <w:top w:val="none" w:sz="0" w:space="0" w:color="auto"/>
            <w:left w:val="none" w:sz="0" w:space="0" w:color="auto"/>
            <w:bottom w:val="none" w:sz="0" w:space="0" w:color="auto"/>
            <w:right w:val="none" w:sz="0" w:space="0" w:color="auto"/>
          </w:divBdr>
        </w:div>
      </w:divsChild>
    </w:div>
    <w:div w:id="444159654">
      <w:bodyDiv w:val="1"/>
      <w:marLeft w:val="0"/>
      <w:marRight w:val="0"/>
      <w:marTop w:val="0"/>
      <w:marBottom w:val="0"/>
      <w:divBdr>
        <w:top w:val="none" w:sz="0" w:space="0" w:color="auto"/>
        <w:left w:val="none" w:sz="0" w:space="0" w:color="auto"/>
        <w:bottom w:val="none" w:sz="0" w:space="0" w:color="auto"/>
        <w:right w:val="none" w:sz="0" w:space="0" w:color="auto"/>
      </w:divBdr>
    </w:div>
    <w:div w:id="470098844">
      <w:bodyDiv w:val="1"/>
      <w:marLeft w:val="0"/>
      <w:marRight w:val="0"/>
      <w:marTop w:val="0"/>
      <w:marBottom w:val="0"/>
      <w:divBdr>
        <w:top w:val="none" w:sz="0" w:space="0" w:color="auto"/>
        <w:left w:val="none" w:sz="0" w:space="0" w:color="auto"/>
        <w:bottom w:val="none" w:sz="0" w:space="0" w:color="auto"/>
        <w:right w:val="none" w:sz="0" w:space="0" w:color="auto"/>
      </w:divBdr>
    </w:div>
    <w:div w:id="532305231">
      <w:bodyDiv w:val="1"/>
      <w:marLeft w:val="0"/>
      <w:marRight w:val="0"/>
      <w:marTop w:val="0"/>
      <w:marBottom w:val="0"/>
      <w:divBdr>
        <w:top w:val="none" w:sz="0" w:space="0" w:color="auto"/>
        <w:left w:val="none" w:sz="0" w:space="0" w:color="auto"/>
        <w:bottom w:val="none" w:sz="0" w:space="0" w:color="auto"/>
        <w:right w:val="none" w:sz="0" w:space="0" w:color="auto"/>
      </w:divBdr>
    </w:div>
    <w:div w:id="575550321">
      <w:bodyDiv w:val="1"/>
      <w:marLeft w:val="0"/>
      <w:marRight w:val="0"/>
      <w:marTop w:val="0"/>
      <w:marBottom w:val="0"/>
      <w:divBdr>
        <w:top w:val="none" w:sz="0" w:space="0" w:color="auto"/>
        <w:left w:val="none" w:sz="0" w:space="0" w:color="auto"/>
        <w:bottom w:val="none" w:sz="0" w:space="0" w:color="auto"/>
        <w:right w:val="none" w:sz="0" w:space="0" w:color="auto"/>
      </w:divBdr>
    </w:div>
    <w:div w:id="645355643">
      <w:bodyDiv w:val="1"/>
      <w:marLeft w:val="0"/>
      <w:marRight w:val="0"/>
      <w:marTop w:val="0"/>
      <w:marBottom w:val="0"/>
      <w:divBdr>
        <w:top w:val="none" w:sz="0" w:space="0" w:color="auto"/>
        <w:left w:val="none" w:sz="0" w:space="0" w:color="auto"/>
        <w:bottom w:val="none" w:sz="0" w:space="0" w:color="auto"/>
        <w:right w:val="none" w:sz="0" w:space="0" w:color="auto"/>
      </w:divBdr>
    </w:div>
    <w:div w:id="696543443">
      <w:bodyDiv w:val="1"/>
      <w:marLeft w:val="0"/>
      <w:marRight w:val="0"/>
      <w:marTop w:val="0"/>
      <w:marBottom w:val="0"/>
      <w:divBdr>
        <w:top w:val="none" w:sz="0" w:space="0" w:color="auto"/>
        <w:left w:val="none" w:sz="0" w:space="0" w:color="auto"/>
        <w:bottom w:val="none" w:sz="0" w:space="0" w:color="auto"/>
        <w:right w:val="none" w:sz="0" w:space="0" w:color="auto"/>
      </w:divBdr>
    </w:div>
    <w:div w:id="704524557">
      <w:bodyDiv w:val="1"/>
      <w:marLeft w:val="0"/>
      <w:marRight w:val="0"/>
      <w:marTop w:val="0"/>
      <w:marBottom w:val="0"/>
      <w:divBdr>
        <w:top w:val="none" w:sz="0" w:space="0" w:color="auto"/>
        <w:left w:val="none" w:sz="0" w:space="0" w:color="auto"/>
        <w:bottom w:val="none" w:sz="0" w:space="0" w:color="auto"/>
        <w:right w:val="none" w:sz="0" w:space="0" w:color="auto"/>
      </w:divBdr>
    </w:div>
    <w:div w:id="755782912">
      <w:bodyDiv w:val="1"/>
      <w:marLeft w:val="0"/>
      <w:marRight w:val="0"/>
      <w:marTop w:val="0"/>
      <w:marBottom w:val="0"/>
      <w:divBdr>
        <w:top w:val="none" w:sz="0" w:space="0" w:color="auto"/>
        <w:left w:val="none" w:sz="0" w:space="0" w:color="auto"/>
        <w:bottom w:val="none" w:sz="0" w:space="0" w:color="auto"/>
        <w:right w:val="none" w:sz="0" w:space="0" w:color="auto"/>
      </w:divBdr>
    </w:div>
    <w:div w:id="853495095">
      <w:bodyDiv w:val="1"/>
      <w:marLeft w:val="0"/>
      <w:marRight w:val="0"/>
      <w:marTop w:val="0"/>
      <w:marBottom w:val="0"/>
      <w:divBdr>
        <w:top w:val="none" w:sz="0" w:space="0" w:color="auto"/>
        <w:left w:val="none" w:sz="0" w:space="0" w:color="auto"/>
        <w:bottom w:val="none" w:sz="0" w:space="0" w:color="auto"/>
        <w:right w:val="none" w:sz="0" w:space="0" w:color="auto"/>
      </w:divBdr>
    </w:div>
    <w:div w:id="956447453">
      <w:bodyDiv w:val="1"/>
      <w:marLeft w:val="0"/>
      <w:marRight w:val="0"/>
      <w:marTop w:val="0"/>
      <w:marBottom w:val="0"/>
      <w:divBdr>
        <w:top w:val="none" w:sz="0" w:space="0" w:color="auto"/>
        <w:left w:val="none" w:sz="0" w:space="0" w:color="auto"/>
        <w:bottom w:val="none" w:sz="0" w:space="0" w:color="auto"/>
        <w:right w:val="none" w:sz="0" w:space="0" w:color="auto"/>
      </w:divBdr>
    </w:div>
    <w:div w:id="1148206602">
      <w:bodyDiv w:val="1"/>
      <w:marLeft w:val="0"/>
      <w:marRight w:val="0"/>
      <w:marTop w:val="0"/>
      <w:marBottom w:val="0"/>
      <w:divBdr>
        <w:top w:val="none" w:sz="0" w:space="0" w:color="auto"/>
        <w:left w:val="none" w:sz="0" w:space="0" w:color="auto"/>
        <w:bottom w:val="none" w:sz="0" w:space="0" w:color="auto"/>
        <w:right w:val="none" w:sz="0" w:space="0" w:color="auto"/>
      </w:divBdr>
    </w:div>
    <w:div w:id="1150292182">
      <w:bodyDiv w:val="1"/>
      <w:marLeft w:val="0"/>
      <w:marRight w:val="0"/>
      <w:marTop w:val="0"/>
      <w:marBottom w:val="0"/>
      <w:divBdr>
        <w:top w:val="none" w:sz="0" w:space="0" w:color="auto"/>
        <w:left w:val="none" w:sz="0" w:space="0" w:color="auto"/>
        <w:bottom w:val="none" w:sz="0" w:space="0" w:color="auto"/>
        <w:right w:val="none" w:sz="0" w:space="0" w:color="auto"/>
      </w:divBdr>
    </w:div>
    <w:div w:id="1221020534">
      <w:bodyDiv w:val="1"/>
      <w:marLeft w:val="0"/>
      <w:marRight w:val="0"/>
      <w:marTop w:val="0"/>
      <w:marBottom w:val="0"/>
      <w:divBdr>
        <w:top w:val="none" w:sz="0" w:space="0" w:color="auto"/>
        <w:left w:val="none" w:sz="0" w:space="0" w:color="auto"/>
        <w:bottom w:val="none" w:sz="0" w:space="0" w:color="auto"/>
        <w:right w:val="none" w:sz="0" w:space="0" w:color="auto"/>
      </w:divBdr>
    </w:div>
    <w:div w:id="1261111004">
      <w:bodyDiv w:val="1"/>
      <w:marLeft w:val="0"/>
      <w:marRight w:val="0"/>
      <w:marTop w:val="0"/>
      <w:marBottom w:val="0"/>
      <w:divBdr>
        <w:top w:val="none" w:sz="0" w:space="0" w:color="auto"/>
        <w:left w:val="none" w:sz="0" w:space="0" w:color="auto"/>
        <w:bottom w:val="none" w:sz="0" w:space="0" w:color="auto"/>
        <w:right w:val="none" w:sz="0" w:space="0" w:color="auto"/>
      </w:divBdr>
    </w:div>
    <w:div w:id="1316836326">
      <w:bodyDiv w:val="1"/>
      <w:marLeft w:val="0"/>
      <w:marRight w:val="0"/>
      <w:marTop w:val="0"/>
      <w:marBottom w:val="0"/>
      <w:divBdr>
        <w:top w:val="none" w:sz="0" w:space="0" w:color="auto"/>
        <w:left w:val="none" w:sz="0" w:space="0" w:color="auto"/>
        <w:bottom w:val="none" w:sz="0" w:space="0" w:color="auto"/>
        <w:right w:val="none" w:sz="0" w:space="0" w:color="auto"/>
      </w:divBdr>
    </w:div>
    <w:div w:id="1370910853">
      <w:bodyDiv w:val="1"/>
      <w:marLeft w:val="0"/>
      <w:marRight w:val="0"/>
      <w:marTop w:val="0"/>
      <w:marBottom w:val="0"/>
      <w:divBdr>
        <w:top w:val="none" w:sz="0" w:space="0" w:color="auto"/>
        <w:left w:val="none" w:sz="0" w:space="0" w:color="auto"/>
        <w:bottom w:val="none" w:sz="0" w:space="0" w:color="auto"/>
        <w:right w:val="none" w:sz="0" w:space="0" w:color="auto"/>
      </w:divBdr>
    </w:div>
    <w:div w:id="1422489307">
      <w:bodyDiv w:val="1"/>
      <w:marLeft w:val="0"/>
      <w:marRight w:val="0"/>
      <w:marTop w:val="0"/>
      <w:marBottom w:val="0"/>
      <w:divBdr>
        <w:top w:val="none" w:sz="0" w:space="0" w:color="auto"/>
        <w:left w:val="none" w:sz="0" w:space="0" w:color="auto"/>
        <w:bottom w:val="none" w:sz="0" w:space="0" w:color="auto"/>
        <w:right w:val="none" w:sz="0" w:space="0" w:color="auto"/>
      </w:divBdr>
    </w:div>
    <w:div w:id="1496803534">
      <w:bodyDiv w:val="1"/>
      <w:marLeft w:val="0"/>
      <w:marRight w:val="0"/>
      <w:marTop w:val="0"/>
      <w:marBottom w:val="0"/>
      <w:divBdr>
        <w:top w:val="none" w:sz="0" w:space="0" w:color="auto"/>
        <w:left w:val="none" w:sz="0" w:space="0" w:color="auto"/>
        <w:bottom w:val="none" w:sz="0" w:space="0" w:color="auto"/>
        <w:right w:val="none" w:sz="0" w:space="0" w:color="auto"/>
      </w:divBdr>
    </w:div>
    <w:div w:id="1613705475">
      <w:bodyDiv w:val="1"/>
      <w:marLeft w:val="0"/>
      <w:marRight w:val="0"/>
      <w:marTop w:val="0"/>
      <w:marBottom w:val="0"/>
      <w:divBdr>
        <w:top w:val="none" w:sz="0" w:space="0" w:color="auto"/>
        <w:left w:val="none" w:sz="0" w:space="0" w:color="auto"/>
        <w:bottom w:val="none" w:sz="0" w:space="0" w:color="auto"/>
        <w:right w:val="none" w:sz="0" w:space="0" w:color="auto"/>
      </w:divBdr>
    </w:div>
    <w:div w:id="1631668664">
      <w:bodyDiv w:val="1"/>
      <w:marLeft w:val="0"/>
      <w:marRight w:val="0"/>
      <w:marTop w:val="0"/>
      <w:marBottom w:val="0"/>
      <w:divBdr>
        <w:top w:val="none" w:sz="0" w:space="0" w:color="auto"/>
        <w:left w:val="none" w:sz="0" w:space="0" w:color="auto"/>
        <w:bottom w:val="none" w:sz="0" w:space="0" w:color="auto"/>
        <w:right w:val="none" w:sz="0" w:space="0" w:color="auto"/>
      </w:divBdr>
    </w:div>
    <w:div w:id="1671178543">
      <w:bodyDiv w:val="1"/>
      <w:marLeft w:val="0"/>
      <w:marRight w:val="0"/>
      <w:marTop w:val="0"/>
      <w:marBottom w:val="0"/>
      <w:divBdr>
        <w:top w:val="none" w:sz="0" w:space="0" w:color="auto"/>
        <w:left w:val="none" w:sz="0" w:space="0" w:color="auto"/>
        <w:bottom w:val="none" w:sz="0" w:space="0" w:color="auto"/>
        <w:right w:val="none" w:sz="0" w:space="0" w:color="auto"/>
      </w:divBdr>
    </w:div>
    <w:div w:id="1768035500">
      <w:bodyDiv w:val="1"/>
      <w:marLeft w:val="0"/>
      <w:marRight w:val="0"/>
      <w:marTop w:val="0"/>
      <w:marBottom w:val="0"/>
      <w:divBdr>
        <w:top w:val="none" w:sz="0" w:space="0" w:color="auto"/>
        <w:left w:val="none" w:sz="0" w:space="0" w:color="auto"/>
        <w:bottom w:val="none" w:sz="0" w:space="0" w:color="auto"/>
        <w:right w:val="none" w:sz="0" w:space="0" w:color="auto"/>
      </w:divBdr>
    </w:div>
    <w:div w:id="1860855507">
      <w:bodyDiv w:val="1"/>
      <w:marLeft w:val="0"/>
      <w:marRight w:val="0"/>
      <w:marTop w:val="0"/>
      <w:marBottom w:val="0"/>
      <w:divBdr>
        <w:top w:val="none" w:sz="0" w:space="0" w:color="auto"/>
        <w:left w:val="none" w:sz="0" w:space="0" w:color="auto"/>
        <w:bottom w:val="none" w:sz="0" w:space="0" w:color="auto"/>
        <w:right w:val="none" w:sz="0" w:space="0" w:color="auto"/>
      </w:divBdr>
    </w:div>
    <w:div w:id="1897080411">
      <w:bodyDiv w:val="1"/>
      <w:marLeft w:val="0"/>
      <w:marRight w:val="0"/>
      <w:marTop w:val="0"/>
      <w:marBottom w:val="0"/>
      <w:divBdr>
        <w:top w:val="none" w:sz="0" w:space="0" w:color="auto"/>
        <w:left w:val="none" w:sz="0" w:space="0" w:color="auto"/>
        <w:bottom w:val="none" w:sz="0" w:space="0" w:color="auto"/>
        <w:right w:val="none" w:sz="0" w:space="0" w:color="auto"/>
      </w:divBdr>
    </w:div>
    <w:div w:id="1912734798">
      <w:bodyDiv w:val="1"/>
      <w:marLeft w:val="0"/>
      <w:marRight w:val="0"/>
      <w:marTop w:val="0"/>
      <w:marBottom w:val="0"/>
      <w:divBdr>
        <w:top w:val="none" w:sz="0" w:space="0" w:color="auto"/>
        <w:left w:val="none" w:sz="0" w:space="0" w:color="auto"/>
        <w:bottom w:val="none" w:sz="0" w:space="0" w:color="auto"/>
        <w:right w:val="none" w:sz="0" w:space="0" w:color="auto"/>
      </w:divBdr>
    </w:div>
    <w:div w:id="21425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urism.research@tra.gov.au" TargetMode="External"/><Relationship Id="rId18" Type="http://schemas.openxmlformats.org/officeDocument/2006/relationships/hyperlink" Target="file:///C:/Users/corrine-rose/AppData/Local/Microsoft/Windows/INetCache/Content.Outlook/2Z3XW8LL/pmc.gov.au/%20government/commonwealth-coat-arms" TargetMode="External"/><Relationship Id="rId26" Type="http://schemas.openxmlformats.org/officeDocument/2006/relationships/chart" Target="charts/chart5.xml"/><Relationship Id="rId21" Type="http://schemas.openxmlformats.org/officeDocument/2006/relationships/hyperlink" Target="https://www.austrade.gov.au/en/how-we-can-help-you/programs-and-services/thrive-2030-strateg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visory@austrade.gov.au" TargetMode="External"/><Relationship Id="rId25" Type="http://schemas.openxmlformats.org/officeDocument/2006/relationships/chart" Target="charts/chart4.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ourism.research@tra.gov.au" TargetMode="External"/><Relationship Id="rId20" Type="http://schemas.openxmlformats.org/officeDocument/2006/relationships/hyperlink" Target="https://www.tra.gov.au/en/economic-analysis/tourism-forecasts"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3.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a.gov.au/"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gov.au"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media-centre/media-releases/discretionary-spending-third-straight-mon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TRA%20Website%20Publication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https://austrade.sharepoint.com/sites/trastrategicresearchanalysis/Shared%20Documents/Tourism/Tourism%20Investment%20Monitor%202023-24%20(in%20progress)/Charts%20for%20repor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austrade.sharepoint.com/sites/trastrategicresearchanalysis/Shared%20Documents/Tourism/Tourism%20Investment%20Monitor%202023-24%20(in%20progress)/Charts%20for%20report.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https://austrade.sharepoint.com/sites/trastrategicresearchanalysis/Shared%20Documents/Tourism/Tourism%20Investment%20Monitor%202023-24%20(in%20progress)/Charts%20for%20report.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https://austrade.sharepoint.com/sites/trastrategicresearchanalysis/Shared%20Documents/Tourism/Tourism%20Investment%20Monitor%202023-24%20(in%20progress)/Charts%20for%20report.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https://austrade.sharepoint.com/sites/trastrategicresearchanalysis/Shared%20Documents/Tourism/Tourism%20Investment%20Monitor%202023-24%20(in%20progress)/Charts%20for%20report.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https://austrade.sharepoint.com/sites/trastrategicresearchanalysis/Shared%20Documents/Tourism/Tourism%20Investment%20Monitor%202023-24%20(in%20progress)/Charts%20for%20report.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https://austrade.sharepoint.com/sites/trastrategicresearchanalysis/Shared%20Documents/Tourism/Tourism%20Investment%20Monitor%202023-24%20(in%20progress)/Charts%20for%20report.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https://austrade.sharepoint.com/sites/trastrategicresearchanalysis/Shared%20Documents/Tourism/Tourism%20Investment%20Monitor%202023-24%20(in%20progress)/Charts%20for%20report.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60754860819448"/>
          <c:y val="0.11750813833783144"/>
          <c:w val="0.87071138350401645"/>
          <c:h val="0.64657589676290461"/>
        </c:manualLayout>
      </c:layout>
      <c:barChart>
        <c:barDir val="bar"/>
        <c:grouping val="stacked"/>
        <c:varyColors val="0"/>
        <c:ser>
          <c:idx val="2"/>
          <c:order val="0"/>
          <c:tx>
            <c:strRef>
              <c:f>'Figure 1'!$A$4</c:f>
              <c:strCache>
                <c:ptCount val="1"/>
                <c:pt idx="0">
                  <c:v>Aviation</c:v>
                </c:pt>
              </c:strCache>
            </c:strRef>
          </c:tx>
          <c:spPr>
            <a:solidFill>
              <a:srgbClr val="2E1A47"/>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1'!$B$3:$C$3</c:f>
              <c:strCache>
                <c:ptCount val="2"/>
                <c:pt idx="0">
                  <c:v>2022-23</c:v>
                </c:pt>
                <c:pt idx="1">
                  <c:v>2023-24</c:v>
                </c:pt>
              </c:strCache>
            </c:strRef>
          </c:cat>
          <c:val>
            <c:numRef>
              <c:f>'Figure 1'!$B$4:$C$4</c:f>
              <c:numCache>
                <c:formatCode>"$"#,##0.0</c:formatCode>
                <c:ptCount val="2"/>
                <c:pt idx="0">
                  <c:v>18.846</c:v>
                </c:pt>
                <c:pt idx="1">
                  <c:v>23.08</c:v>
                </c:pt>
              </c:numCache>
            </c:numRef>
          </c:val>
          <c:extLst>
            <c:ext xmlns:c16="http://schemas.microsoft.com/office/drawing/2014/chart" uri="{C3380CC4-5D6E-409C-BE32-E72D297353CC}">
              <c16:uniqueId val="{00000000-562D-4C6E-AF98-5FBF86FD4261}"/>
            </c:ext>
          </c:extLst>
        </c:ser>
        <c:ser>
          <c:idx val="1"/>
          <c:order val="1"/>
          <c:tx>
            <c:strRef>
              <c:f>'Figure 1'!$A$5</c:f>
              <c:strCache>
                <c:ptCount val="1"/>
                <c:pt idx="0">
                  <c:v>Arts, rec. &amp; business services</c:v>
                </c:pt>
              </c:strCache>
            </c:strRef>
          </c:tx>
          <c:spPr>
            <a:solidFill>
              <a:srgbClr val="7A428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1'!$B$3:$C$3</c:f>
              <c:strCache>
                <c:ptCount val="2"/>
                <c:pt idx="0">
                  <c:v>2022-23</c:v>
                </c:pt>
                <c:pt idx="1">
                  <c:v>2023-24</c:v>
                </c:pt>
              </c:strCache>
            </c:strRef>
          </c:cat>
          <c:val>
            <c:numRef>
              <c:f>'Figure 1'!$B$5:$C$5</c:f>
              <c:numCache>
                <c:formatCode>"$"#,##0.0</c:formatCode>
                <c:ptCount val="2"/>
                <c:pt idx="0">
                  <c:v>25.11</c:v>
                </c:pt>
                <c:pt idx="1">
                  <c:v>28.882483537999999</c:v>
                </c:pt>
              </c:numCache>
            </c:numRef>
          </c:val>
          <c:extLst>
            <c:ext xmlns:c16="http://schemas.microsoft.com/office/drawing/2014/chart" uri="{C3380CC4-5D6E-409C-BE32-E72D297353CC}">
              <c16:uniqueId val="{00000001-562D-4C6E-AF98-5FBF86FD4261}"/>
            </c:ext>
          </c:extLst>
        </c:ser>
        <c:ser>
          <c:idx val="0"/>
          <c:order val="2"/>
          <c:tx>
            <c:strRef>
              <c:f>'Figure 1'!$A$6</c:f>
              <c:strCache>
                <c:ptCount val="1"/>
                <c:pt idx="0">
                  <c:v>Accommodation</c:v>
                </c:pt>
              </c:strCache>
            </c:strRef>
          </c:tx>
          <c:spPr>
            <a:solidFill>
              <a:srgbClr val="C78570"/>
            </a:solidFill>
            <a:ln>
              <a:noFill/>
            </a:ln>
            <a:effectLst/>
          </c:spPr>
          <c:invertIfNegative val="0"/>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43F3-4221-A877-8586E638892D}"/>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43F3-4221-A877-8586E638892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1'!$B$3:$C$3</c:f>
              <c:strCache>
                <c:ptCount val="2"/>
                <c:pt idx="0">
                  <c:v>2022-23</c:v>
                </c:pt>
                <c:pt idx="1">
                  <c:v>2023-24</c:v>
                </c:pt>
              </c:strCache>
            </c:strRef>
          </c:cat>
          <c:val>
            <c:numRef>
              <c:f>'Figure 1'!$B$6:$C$6</c:f>
              <c:numCache>
                <c:formatCode>"$"#,##0.0</c:formatCode>
                <c:ptCount val="2"/>
                <c:pt idx="0">
                  <c:v>12.192265000000001</c:v>
                </c:pt>
                <c:pt idx="1">
                  <c:v>11.449</c:v>
                </c:pt>
              </c:numCache>
            </c:numRef>
          </c:val>
          <c:extLst>
            <c:ext xmlns:c16="http://schemas.microsoft.com/office/drawing/2014/chart" uri="{C3380CC4-5D6E-409C-BE32-E72D297353CC}">
              <c16:uniqueId val="{00000002-562D-4C6E-AF98-5FBF86FD4261}"/>
            </c:ext>
          </c:extLst>
        </c:ser>
        <c:dLbls>
          <c:showLegendKey val="0"/>
          <c:showVal val="0"/>
          <c:showCatName val="0"/>
          <c:showSerName val="0"/>
          <c:showPercent val="0"/>
          <c:showBubbleSize val="0"/>
        </c:dLbls>
        <c:gapWidth val="80"/>
        <c:overlap val="100"/>
        <c:axId val="375334175"/>
        <c:axId val="1837719455"/>
      </c:barChart>
      <c:catAx>
        <c:axId val="375334175"/>
        <c:scaling>
          <c:orientation val="maxMin"/>
        </c:scaling>
        <c:delete val="0"/>
        <c:axPos val="l"/>
        <c:numFmt formatCode="General" sourceLinked="1"/>
        <c:majorTickMark val="none"/>
        <c:minorTickMark val="none"/>
        <c:tickLblPos val="nextTo"/>
        <c:spPr>
          <a:noFill/>
          <a:ln w="9525" cap="flat" cmpd="sng" algn="ctr">
            <a:solidFill>
              <a:sysClr val="windowText" lastClr="000000">
                <a:lumMod val="85000"/>
                <a:lumOff val="15000"/>
              </a:sys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Verdana" panose="020B0604030504040204" pitchFamily="34" charset="0"/>
                <a:ea typeface="Verdana" panose="020B0604030504040204" pitchFamily="34" charset="0"/>
                <a:cs typeface="+mn-cs"/>
              </a:defRPr>
            </a:pPr>
            <a:endParaRPr lang="en-US"/>
          </a:p>
        </c:txPr>
        <c:crossAx val="1837719455"/>
        <c:crosses val="autoZero"/>
        <c:auto val="1"/>
        <c:lblAlgn val="ctr"/>
        <c:lblOffset val="100"/>
        <c:noMultiLvlLbl val="0"/>
      </c:catAx>
      <c:valAx>
        <c:axId val="1837719455"/>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85000"/>
                        <a:lumOff val="15000"/>
                      </a:schemeClr>
                    </a:solidFill>
                    <a:latin typeface="Verdana" panose="020B0604030504040204" pitchFamily="34" charset="0"/>
                    <a:ea typeface="Verdana" panose="020B0604030504040204" pitchFamily="34" charset="0"/>
                    <a:cs typeface="+mn-cs"/>
                  </a:defRPr>
                </a:pPr>
                <a:r>
                  <a:rPr lang="en-AU" sz="1100">
                    <a:solidFill>
                      <a:schemeClr val="tx1">
                        <a:lumMod val="85000"/>
                        <a:lumOff val="15000"/>
                      </a:schemeClr>
                    </a:solidFill>
                    <a:latin typeface="Verdana" panose="020B0604030504040204" pitchFamily="34" charset="0"/>
                    <a:ea typeface="Verdana" panose="020B0604030504040204" pitchFamily="34" charset="0"/>
                  </a:rPr>
                  <a:t>$ billion</a:t>
                </a:r>
              </a:p>
            </c:rich>
          </c:tx>
          <c:layout>
            <c:manualLayout>
              <c:xMode val="edge"/>
              <c:yMode val="edge"/>
              <c:x val="0.46812184783491045"/>
              <c:y val="0.857053875332721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Verdana" panose="020B0604030504040204" pitchFamily="34" charset="0"/>
                  <a:ea typeface="Verdana" panose="020B0604030504040204" pitchFamily="34" charset="0"/>
                  <a:cs typeface="+mn-cs"/>
                </a:defRPr>
              </a:pPr>
              <a:endParaRPr lang="en-US"/>
            </a:p>
          </c:txPr>
        </c:title>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Verdana" panose="020B0604030504040204" pitchFamily="34" charset="0"/>
                <a:ea typeface="Verdana" panose="020B0604030504040204" pitchFamily="34" charset="0"/>
                <a:cs typeface="+mn-cs"/>
              </a:defRPr>
            </a:pPr>
            <a:endParaRPr lang="en-US"/>
          </a:p>
        </c:txPr>
        <c:crossAx val="375334175"/>
        <c:crosses val="autoZero"/>
        <c:crossBetween val="between"/>
      </c:valAx>
      <c:spPr>
        <a:noFill/>
        <a:ln>
          <a:noFill/>
        </a:ln>
        <a:effectLst/>
      </c:spPr>
    </c:plotArea>
    <c:legend>
      <c:legendPos val="b"/>
      <c:layout>
        <c:manualLayout>
          <c:xMode val="edge"/>
          <c:yMode val="edge"/>
          <c:x val="8.9802602554555189E-2"/>
          <c:y val="1.2097975385585654E-2"/>
          <c:w val="0.84399574702038649"/>
          <c:h val="8.8514784820543507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85000"/>
                  <a:lumOff val="15000"/>
                </a:schemeClr>
              </a:solidFill>
              <a:latin typeface="Verdana" panose="020B0604030504040204" pitchFamily="34" charset="0"/>
              <a:ea typeface="Verdana" panose="020B0604030504040204" pitchFamily="34"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966447158018887E-2"/>
          <c:y val="0.10494438441986459"/>
          <c:w val="0.8965464206617636"/>
          <c:h val="0.64657589676290461"/>
        </c:manualLayout>
      </c:layout>
      <c:barChart>
        <c:barDir val="bar"/>
        <c:grouping val="stacked"/>
        <c:varyColors val="0"/>
        <c:ser>
          <c:idx val="0"/>
          <c:order val="0"/>
          <c:tx>
            <c:strRef>
              <c:f>'Figure 2'!$A$4</c:f>
              <c:strCache>
                <c:ptCount val="1"/>
                <c:pt idx="0">
                  <c:v>Proposed</c:v>
                </c:pt>
              </c:strCache>
            </c:strRef>
          </c:tx>
          <c:spPr>
            <a:solidFill>
              <a:schemeClr val="tx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2'!$C$3:$D$3</c:f>
              <c:strCache>
                <c:ptCount val="2"/>
                <c:pt idx="0">
                  <c:v>2022-23</c:v>
                </c:pt>
                <c:pt idx="1">
                  <c:v>2023-24</c:v>
                </c:pt>
              </c:strCache>
            </c:strRef>
          </c:cat>
          <c:val>
            <c:numRef>
              <c:f>'Figure 2'!$C$4:$D$4</c:f>
              <c:numCache>
                <c:formatCode>"$"#,##0.0</c:formatCode>
                <c:ptCount val="2"/>
                <c:pt idx="0">
                  <c:v>13.039</c:v>
                </c:pt>
                <c:pt idx="1">
                  <c:v>15.956599450000001</c:v>
                </c:pt>
              </c:numCache>
            </c:numRef>
          </c:val>
          <c:extLst>
            <c:ext xmlns:c16="http://schemas.microsoft.com/office/drawing/2014/chart" uri="{C3380CC4-5D6E-409C-BE32-E72D297353CC}">
              <c16:uniqueId val="{00000000-DA82-4F4E-9CEE-9AC3C2A601C9}"/>
            </c:ext>
          </c:extLst>
        </c:ser>
        <c:ser>
          <c:idx val="1"/>
          <c:order val="1"/>
          <c:tx>
            <c:strRef>
              <c:f>'Figure 2'!$A$5</c:f>
              <c:strCache>
                <c:ptCount val="1"/>
                <c:pt idx="0">
                  <c:v>Planning</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2'!$C$3:$D$3</c:f>
              <c:strCache>
                <c:ptCount val="2"/>
                <c:pt idx="0">
                  <c:v>2022-23</c:v>
                </c:pt>
                <c:pt idx="1">
                  <c:v>2023-24</c:v>
                </c:pt>
              </c:strCache>
            </c:strRef>
          </c:cat>
          <c:val>
            <c:numRef>
              <c:f>'Figure 2'!$C$5:$D$5</c:f>
              <c:numCache>
                <c:formatCode>"$"#,##0.0</c:formatCode>
                <c:ptCount val="2"/>
                <c:pt idx="0">
                  <c:v>23.348265000000001</c:v>
                </c:pt>
                <c:pt idx="1">
                  <c:v>28.005896088</c:v>
                </c:pt>
              </c:numCache>
            </c:numRef>
          </c:val>
          <c:extLst>
            <c:ext xmlns:c16="http://schemas.microsoft.com/office/drawing/2014/chart" uri="{C3380CC4-5D6E-409C-BE32-E72D297353CC}">
              <c16:uniqueId val="{00000001-DA82-4F4E-9CEE-9AC3C2A601C9}"/>
            </c:ext>
          </c:extLst>
        </c:ser>
        <c:ser>
          <c:idx val="2"/>
          <c:order val="2"/>
          <c:tx>
            <c:strRef>
              <c:f>'Figure 2'!$A$6</c:f>
              <c:strCache>
                <c:ptCount val="1"/>
                <c:pt idx="0">
                  <c:v>Under construction</c:v>
                </c:pt>
              </c:strCache>
            </c:strRef>
          </c:tx>
          <c:spPr>
            <a:solidFill>
              <a:srgbClr val="C7857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2'!$C$3:$D$3</c:f>
              <c:strCache>
                <c:ptCount val="2"/>
                <c:pt idx="0">
                  <c:v>2022-23</c:v>
                </c:pt>
                <c:pt idx="1">
                  <c:v>2023-24</c:v>
                </c:pt>
              </c:strCache>
            </c:strRef>
          </c:cat>
          <c:val>
            <c:numRef>
              <c:f>'Figure 2'!$C$6:$D$6</c:f>
              <c:numCache>
                <c:formatCode>"$"#,##0.0</c:formatCode>
                <c:ptCount val="2"/>
                <c:pt idx="0">
                  <c:v>19.761000000000003</c:v>
                </c:pt>
                <c:pt idx="1">
                  <c:v>19.448988</c:v>
                </c:pt>
              </c:numCache>
            </c:numRef>
          </c:val>
          <c:extLst>
            <c:ext xmlns:c16="http://schemas.microsoft.com/office/drawing/2014/chart" uri="{C3380CC4-5D6E-409C-BE32-E72D297353CC}">
              <c16:uniqueId val="{00000002-DA82-4F4E-9CEE-9AC3C2A601C9}"/>
            </c:ext>
          </c:extLst>
        </c:ser>
        <c:dLbls>
          <c:showLegendKey val="0"/>
          <c:showVal val="0"/>
          <c:showCatName val="0"/>
          <c:showSerName val="0"/>
          <c:showPercent val="0"/>
          <c:showBubbleSize val="0"/>
        </c:dLbls>
        <c:gapWidth val="80"/>
        <c:overlap val="100"/>
        <c:axId val="375334175"/>
        <c:axId val="1837719455"/>
      </c:barChart>
      <c:catAx>
        <c:axId val="375334175"/>
        <c:scaling>
          <c:orientation val="maxMin"/>
        </c:scaling>
        <c:delete val="0"/>
        <c:axPos val="l"/>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mn-lt"/>
                <a:ea typeface="+mn-ea"/>
                <a:cs typeface="+mn-cs"/>
              </a:defRPr>
            </a:pPr>
            <a:endParaRPr lang="en-US"/>
          </a:p>
        </c:txPr>
        <c:crossAx val="1837719455"/>
        <c:crosses val="autoZero"/>
        <c:auto val="1"/>
        <c:lblAlgn val="ctr"/>
        <c:lblOffset val="100"/>
        <c:noMultiLvlLbl val="0"/>
      </c:catAx>
      <c:valAx>
        <c:axId val="1837719455"/>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r>
                  <a:rPr lang="en-AU" sz="1100">
                    <a:solidFill>
                      <a:schemeClr val="tx1">
                        <a:lumMod val="85000"/>
                        <a:lumOff val="15000"/>
                      </a:schemeClr>
                    </a:solidFill>
                  </a:rPr>
                  <a:t>$ billion</a:t>
                </a:r>
              </a:p>
            </c:rich>
          </c:tx>
          <c:layout>
            <c:manualLayout>
              <c:xMode val="edge"/>
              <c:yMode val="edge"/>
              <c:x val="0.51090953153299434"/>
              <c:y val="0.868496552689058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title>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mn-lt"/>
                <a:ea typeface="+mn-ea"/>
                <a:cs typeface="+mn-cs"/>
              </a:defRPr>
            </a:pPr>
            <a:endParaRPr lang="en-US"/>
          </a:p>
        </c:txPr>
        <c:crossAx val="375334175"/>
        <c:crosses val="autoZero"/>
        <c:crossBetween val="between"/>
      </c:valAx>
      <c:spPr>
        <a:noFill/>
        <a:ln>
          <a:noFill/>
        </a:ln>
        <a:effectLst/>
      </c:spPr>
    </c:plotArea>
    <c:legend>
      <c:legendPos val="b"/>
      <c:layout>
        <c:manualLayout>
          <c:xMode val="edge"/>
          <c:yMode val="edge"/>
          <c:x val="8.0838104400450986E-2"/>
          <c:y val="2.9363549447730689E-2"/>
          <c:w val="0.88748178439461112"/>
          <c:h val="7.9087561971420223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715717275954841"/>
          <c:y val="0.12147266313932981"/>
          <c:w val="0.72313109325498137"/>
          <c:h val="0.60603714612009374"/>
        </c:manualLayout>
      </c:layout>
      <c:barChart>
        <c:barDir val="bar"/>
        <c:grouping val="stacked"/>
        <c:varyColors val="0"/>
        <c:ser>
          <c:idx val="0"/>
          <c:order val="0"/>
          <c:tx>
            <c:strRef>
              <c:f>'Figure 3'!$A$4</c:f>
              <c:strCache>
                <c:ptCount val="1"/>
                <c:pt idx="0">
                  <c:v>Proposed</c:v>
                </c:pt>
              </c:strCache>
            </c:strRef>
          </c:tx>
          <c:spPr>
            <a:solidFill>
              <a:schemeClr val="tx2"/>
            </a:solidFill>
            <a:ln>
              <a:noFill/>
            </a:ln>
            <a:effectLst/>
          </c:spPr>
          <c:invertIfNegative val="0"/>
          <c:dLbls>
            <c:dLbl>
              <c:idx val="2"/>
              <c:layout>
                <c:manualLayout>
                  <c:x val="8.0256821829854802E-3"/>
                  <c:y val="0"/>
                </c:manualLayout>
              </c:layout>
              <c:tx>
                <c:rich>
                  <a:bodyPr/>
                  <a:lstStyle/>
                  <a:p>
                    <a:fld id="{7CF7A463-1D9C-419F-B43B-7555EC251A4C}" type="VALUE">
                      <a:rPr lang="en-US" sz="1000"/>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409-4248-83EC-E2BCAEBC67D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3'!$B$3:$D$3</c:f>
              <c:strCache>
                <c:ptCount val="3"/>
                <c:pt idx="0">
                  <c:v>Aviation</c:v>
                </c:pt>
                <c:pt idx="1">
                  <c:v>Arts, rec. &amp; business services</c:v>
                </c:pt>
                <c:pt idx="2">
                  <c:v>Accommodation</c:v>
                </c:pt>
              </c:strCache>
            </c:strRef>
          </c:cat>
          <c:val>
            <c:numRef>
              <c:f>'Figure 3'!$B$4:$D$4</c:f>
              <c:numCache>
                <c:formatCode>"$"#,##0.0</c:formatCode>
                <c:ptCount val="3"/>
                <c:pt idx="0">
                  <c:v>10.3</c:v>
                </c:pt>
                <c:pt idx="1">
                  <c:v>4.6005994499999998</c:v>
                </c:pt>
                <c:pt idx="2">
                  <c:v>1.056</c:v>
                </c:pt>
              </c:numCache>
            </c:numRef>
          </c:val>
          <c:extLst>
            <c:ext xmlns:c16="http://schemas.microsoft.com/office/drawing/2014/chart" uri="{C3380CC4-5D6E-409C-BE32-E72D297353CC}">
              <c16:uniqueId val="{00000001-F409-4248-83EC-E2BCAEBC67DA}"/>
            </c:ext>
          </c:extLst>
        </c:ser>
        <c:ser>
          <c:idx val="1"/>
          <c:order val="1"/>
          <c:tx>
            <c:strRef>
              <c:f>'Figure 3'!$A$5</c:f>
              <c:strCache>
                <c:ptCount val="1"/>
                <c:pt idx="0">
                  <c:v>Planning</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3'!$B$3:$D$3</c:f>
              <c:strCache>
                <c:ptCount val="3"/>
                <c:pt idx="0">
                  <c:v>Aviation</c:v>
                </c:pt>
                <c:pt idx="1">
                  <c:v>Arts, rec. &amp; business services</c:v>
                </c:pt>
                <c:pt idx="2">
                  <c:v>Accommodation</c:v>
                </c:pt>
              </c:strCache>
            </c:strRef>
          </c:cat>
          <c:val>
            <c:numRef>
              <c:f>'Figure 3'!$B$5:$D$5</c:f>
              <c:numCache>
                <c:formatCode>"$"#,##0.0</c:formatCode>
                <c:ptCount val="3"/>
                <c:pt idx="0">
                  <c:v>4.2770000000000001</c:v>
                </c:pt>
                <c:pt idx="1">
                  <c:v>16.584896088000001</c:v>
                </c:pt>
                <c:pt idx="2">
                  <c:v>7.1440000000000001</c:v>
                </c:pt>
              </c:numCache>
            </c:numRef>
          </c:val>
          <c:extLst>
            <c:ext xmlns:c16="http://schemas.microsoft.com/office/drawing/2014/chart" uri="{C3380CC4-5D6E-409C-BE32-E72D297353CC}">
              <c16:uniqueId val="{00000002-F409-4248-83EC-E2BCAEBC67DA}"/>
            </c:ext>
          </c:extLst>
        </c:ser>
        <c:ser>
          <c:idx val="2"/>
          <c:order val="2"/>
          <c:tx>
            <c:strRef>
              <c:f>'Figure 3'!$A$6</c:f>
              <c:strCache>
                <c:ptCount val="1"/>
                <c:pt idx="0">
                  <c:v>Under construction</c:v>
                </c:pt>
              </c:strCache>
            </c:strRef>
          </c:tx>
          <c:spPr>
            <a:solidFill>
              <a:srgbClr val="C7857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3'!$B$3:$D$3</c:f>
              <c:strCache>
                <c:ptCount val="3"/>
                <c:pt idx="0">
                  <c:v>Aviation</c:v>
                </c:pt>
                <c:pt idx="1">
                  <c:v>Arts, rec. &amp; business services</c:v>
                </c:pt>
                <c:pt idx="2">
                  <c:v>Accommodation</c:v>
                </c:pt>
              </c:strCache>
            </c:strRef>
          </c:cat>
          <c:val>
            <c:numRef>
              <c:f>'Figure 3'!$B$6:$D$6</c:f>
              <c:numCache>
                <c:formatCode>"$"#,##0.0</c:formatCode>
                <c:ptCount val="3"/>
                <c:pt idx="0">
                  <c:v>8.5030000000000001</c:v>
                </c:pt>
                <c:pt idx="1">
                  <c:v>7.6969880000000002</c:v>
                </c:pt>
                <c:pt idx="2">
                  <c:v>3.2490000000000001</c:v>
                </c:pt>
              </c:numCache>
            </c:numRef>
          </c:val>
          <c:extLst>
            <c:ext xmlns:c16="http://schemas.microsoft.com/office/drawing/2014/chart" uri="{C3380CC4-5D6E-409C-BE32-E72D297353CC}">
              <c16:uniqueId val="{00000003-F409-4248-83EC-E2BCAEBC67DA}"/>
            </c:ext>
          </c:extLst>
        </c:ser>
        <c:dLbls>
          <c:showLegendKey val="0"/>
          <c:showVal val="0"/>
          <c:showCatName val="0"/>
          <c:showSerName val="0"/>
          <c:showPercent val="0"/>
          <c:showBubbleSize val="0"/>
        </c:dLbls>
        <c:gapWidth val="80"/>
        <c:overlap val="100"/>
        <c:axId val="2079787231"/>
        <c:axId val="476176399"/>
      </c:barChart>
      <c:catAx>
        <c:axId val="2079787231"/>
        <c:scaling>
          <c:orientation val="minMax"/>
        </c:scaling>
        <c:delete val="0"/>
        <c:axPos val="l"/>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476176399"/>
        <c:crosses val="autoZero"/>
        <c:auto val="1"/>
        <c:lblAlgn val="ctr"/>
        <c:lblOffset val="100"/>
        <c:noMultiLvlLbl val="0"/>
      </c:catAx>
      <c:valAx>
        <c:axId val="476176399"/>
        <c:scaling>
          <c:orientation val="minMax"/>
          <c:max val="3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sz="1100" b="0">
                    <a:solidFill>
                      <a:schemeClr val="tx1">
                        <a:lumMod val="85000"/>
                        <a:lumOff val="15000"/>
                      </a:schemeClr>
                    </a:solidFill>
                  </a:rPr>
                  <a:t>$ billion</a:t>
                </a:r>
              </a:p>
            </c:rich>
          </c:tx>
          <c:layout>
            <c:manualLayout>
              <c:xMode val="edge"/>
              <c:yMode val="edge"/>
              <c:x val="0.60869143463808606"/>
              <c:y val="0.8266069603894933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crossAx val="2079787231"/>
        <c:crosses val="autoZero"/>
        <c:crossBetween val="between"/>
      </c:valAx>
      <c:spPr>
        <a:noFill/>
        <a:ln>
          <a:noFill/>
        </a:ln>
        <a:effectLst/>
      </c:spPr>
    </c:plotArea>
    <c:legend>
      <c:legendPos val="b"/>
      <c:layout>
        <c:manualLayout>
          <c:xMode val="edge"/>
          <c:yMode val="edge"/>
          <c:x val="0.2860206512079691"/>
          <c:y val="2.1080698246052621E-2"/>
          <c:w val="0.66806435221798133"/>
          <c:h val="7.81255468066491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85819188331793"/>
          <c:y val="0.12430870054286693"/>
          <c:w val="0.64968513416160067"/>
          <c:h val="0.67463692038495182"/>
        </c:manualLayout>
      </c:layout>
      <c:barChart>
        <c:barDir val="bar"/>
        <c:grouping val="stacked"/>
        <c:varyColors val="0"/>
        <c:ser>
          <c:idx val="0"/>
          <c:order val="0"/>
          <c:tx>
            <c:strRef>
              <c:f>'Figure 4'!$B$3</c:f>
              <c:strCache>
                <c:ptCount val="1"/>
                <c:pt idx="0">
                  <c:v>Aviation</c:v>
                </c:pt>
              </c:strCache>
            </c:strRef>
          </c:tx>
          <c:spPr>
            <a:solidFill>
              <a:schemeClr val="tx2"/>
            </a:solidFill>
            <a:ln>
              <a:noFill/>
            </a:ln>
            <a:effectLst/>
          </c:spPr>
          <c:invertIfNegative val="0"/>
          <c:dLbls>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22B5-429A-BEF5-78698D42AC22}"/>
                </c:ext>
              </c:extLst>
            </c:dLbl>
            <c:dLbl>
              <c:idx val="5"/>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22B5-429A-BEF5-78698D42AC22}"/>
                </c:ext>
              </c:extLst>
            </c:dLbl>
            <c:dLbl>
              <c:idx val="6"/>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22B5-429A-BEF5-78698D42AC22}"/>
                </c:ext>
              </c:extLst>
            </c:dLbl>
            <c:dLbl>
              <c:idx val="7"/>
              <c:delete val="1"/>
              <c:extLst>
                <c:ext xmlns:c15="http://schemas.microsoft.com/office/drawing/2012/chart" uri="{CE6537A1-D6FC-4f65-9D91-7224C49458BB}"/>
                <c:ext xmlns:c16="http://schemas.microsoft.com/office/drawing/2014/chart" uri="{C3380CC4-5D6E-409C-BE32-E72D297353CC}">
                  <c16:uniqueId val="{00000003-22B5-429A-BEF5-78698D42AC2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4'!$A$4:$A$11</c:f>
              <c:strCache>
                <c:ptCount val="8"/>
                <c:pt idx="0">
                  <c:v>New South Wales</c:v>
                </c:pt>
                <c:pt idx="1">
                  <c:v>Victoria</c:v>
                </c:pt>
                <c:pt idx="2">
                  <c:v>Queensland</c:v>
                </c:pt>
                <c:pt idx="3">
                  <c:v>Western Australia</c:v>
                </c:pt>
                <c:pt idx="4">
                  <c:v>South Australia</c:v>
                </c:pt>
                <c:pt idx="5">
                  <c:v>Tasmania</c:v>
                </c:pt>
                <c:pt idx="6">
                  <c:v>Northern Territory</c:v>
                </c:pt>
                <c:pt idx="7">
                  <c:v>Australian Capital Territory</c:v>
                </c:pt>
              </c:strCache>
            </c:strRef>
          </c:cat>
          <c:val>
            <c:numRef>
              <c:f>'Figure 4'!$B$4:$B$11</c:f>
              <c:numCache>
                <c:formatCode>"$"#,##0.0</c:formatCode>
                <c:ptCount val="8"/>
                <c:pt idx="0">
                  <c:v>5.7789999999999999</c:v>
                </c:pt>
                <c:pt idx="1">
                  <c:v>9.4</c:v>
                </c:pt>
                <c:pt idx="2">
                  <c:v>1.554</c:v>
                </c:pt>
                <c:pt idx="3">
                  <c:v>5.2110000000000003</c:v>
                </c:pt>
                <c:pt idx="4">
                  <c:v>0.5</c:v>
                </c:pt>
                <c:pt idx="5">
                  <c:v>0.3</c:v>
                </c:pt>
                <c:pt idx="6">
                  <c:v>0.33600000000000002</c:v>
                </c:pt>
                <c:pt idx="7">
                  <c:v>0</c:v>
                </c:pt>
              </c:numCache>
            </c:numRef>
          </c:val>
          <c:extLst>
            <c:ext xmlns:c16="http://schemas.microsoft.com/office/drawing/2014/chart" uri="{C3380CC4-5D6E-409C-BE32-E72D297353CC}">
              <c16:uniqueId val="{00000000-DEF0-4B32-8E26-8893BC84FFD9}"/>
            </c:ext>
          </c:extLst>
        </c:ser>
        <c:ser>
          <c:idx val="1"/>
          <c:order val="1"/>
          <c:tx>
            <c:strRef>
              <c:f>'Figure 4'!$C$3</c:f>
              <c:strCache>
                <c:ptCount val="1"/>
                <c:pt idx="0">
                  <c:v>Arts, rec. &amp; business services</c:v>
                </c:pt>
              </c:strCache>
            </c:strRef>
          </c:tx>
          <c:spPr>
            <a:solidFill>
              <a:schemeClr val="accent1"/>
            </a:solidFill>
            <a:ln>
              <a:noFill/>
            </a:ln>
            <a:effectLst/>
          </c:spPr>
          <c:invertIfNegative val="0"/>
          <c:dLbls>
            <c:dLbl>
              <c:idx val="7"/>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4-22B5-429A-BEF5-78698D42AC2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4'!$A$4:$A$11</c:f>
              <c:strCache>
                <c:ptCount val="8"/>
                <c:pt idx="0">
                  <c:v>New South Wales</c:v>
                </c:pt>
                <c:pt idx="1">
                  <c:v>Victoria</c:v>
                </c:pt>
                <c:pt idx="2">
                  <c:v>Queensland</c:v>
                </c:pt>
                <c:pt idx="3">
                  <c:v>Western Australia</c:v>
                </c:pt>
                <c:pt idx="4">
                  <c:v>South Australia</c:v>
                </c:pt>
                <c:pt idx="5">
                  <c:v>Tasmania</c:v>
                </c:pt>
                <c:pt idx="6">
                  <c:v>Northern Territory</c:v>
                </c:pt>
                <c:pt idx="7">
                  <c:v>Australian Capital Territory</c:v>
                </c:pt>
              </c:strCache>
            </c:strRef>
          </c:cat>
          <c:val>
            <c:numRef>
              <c:f>'Figure 4'!$C$4:$C$11</c:f>
              <c:numCache>
                <c:formatCode>"$"#,##0.0</c:formatCode>
                <c:ptCount val="8"/>
                <c:pt idx="0">
                  <c:v>7.6184835379999996</c:v>
                </c:pt>
                <c:pt idx="1">
                  <c:v>4.0250000000000004</c:v>
                </c:pt>
                <c:pt idx="2">
                  <c:v>8.6180000000000003</c:v>
                </c:pt>
                <c:pt idx="3">
                  <c:v>1.6990000000000001</c:v>
                </c:pt>
                <c:pt idx="4">
                  <c:v>1.198</c:v>
                </c:pt>
                <c:pt idx="5">
                  <c:v>2.2650000000000001</c:v>
                </c:pt>
                <c:pt idx="6">
                  <c:v>2.109</c:v>
                </c:pt>
                <c:pt idx="7">
                  <c:v>1.35</c:v>
                </c:pt>
              </c:numCache>
            </c:numRef>
          </c:val>
          <c:extLst>
            <c:ext xmlns:c16="http://schemas.microsoft.com/office/drawing/2014/chart" uri="{C3380CC4-5D6E-409C-BE32-E72D297353CC}">
              <c16:uniqueId val="{00000001-DEF0-4B32-8E26-8893BC84FFD9}"/>
            </c:ext>
          </c:extLst>
        </c:ser>
        <c:ser>
          <c:idx val="2"/>
          <c:order val="2"/>
          <c:tx>
            <c:strRef>
              <c:f>'Figure 4'!$D$3</c:f>
              <c:strCache>
                <c:ptCount val="1"/>
                <c:pt idx="0">
                  <c:v>Accommodation</c:v>
                </c:pt>
              </c:strCache>
            </c:strRef>
          </c:tx>
          <c:spPr>
            <a:solidFill>
              <a:srgbClr val="C78570"/>
            </a:solidFill>
            <a:ln>
              <a:noFill/>
            </a:ln>
            <a:effectLst/>
          </c:spPr>
          <c:invertIfNegative val="0"/>
          <c:dLbls>
            <c:dLbl>
              <c:idx val="5"/>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7-DEF0-4B32-8E26-8893BC84FFD9}"/>
                </c:ext>
              </c:extLst>
            </c:dLbl>
            <c:dLbl>
              <c:idx val="6"/>
              <c:layout>
                <c:manualLayout>
                  <c:x val="-6.0192616372391657E-3"/>
                  <c:y val="0"/>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EF0-4B32-8E26-8893BC84FFD9}"/>
                </c:ext>
              </c:extLst>
            </c:dLbl>
            <c:dLbl>
              <c:idx val="7"/>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9-DEF0-4B32-8E26-8893BC84FFD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4'!$A$4:$A$11</c:f>
              <c:strCache>
                <c:ptCount val="8"/>
                <c:pt idx="0">
                  <c:v>New South Wales</c:v>
                </c:pt>
                <c:pt idx="1">
                  <c:v>Victoria</c:v>
                </c:pt>
                <c:pt idx="2">
                  <c:v>Queensland</c:v>
                </c:pt>
                <c:pt idx="3">
                  <c:v>Western Australia</c:v>
                </c:pt>
                <c:pt idx="4">
                  <c:v>South Australia</c:v>
                </c:pt>
                <c:pt idx="5">
                  <c:v>Tasmania</c:v>
                </c:pt>
                <c:pt idx="6">
                  <c:v>Northern Territory</c:v>
                </c:pt>
                <c:pt idx="7">
                  <c:v>Australian Capital Territory</c:v>
                </c:pt>
              </c:strCache>
            </c:strRef>
          </c:cat>
          <c:val>
            <c:numRef>
              <c:f>'Figure 4'!$D$4:$D$11</c:f>
              <c:numCache>
                <c:formatCode>"$"#,##0.0</c:formatCode>
                <c:ptCount val="8"/>
                <c:pt idx="0">
                  <c:v>2.91</c:v>
                </c:pt>
                <c:pt idx="1">
                  <c:v>2.56</c:v>
                </c:pt>
                <c:pt idx="2">
                  <c:v>2.2160000000000002</c:v>
                </c:pt>
                <c:pt idx="3">
                  <c:v>0.74199999999999999</c:v>
                </c:pt>
                <c:pt idx="4">
                  <c:v>1.712</c:v>
                </c:pt>
                <c:pt idx="5">
                  <c:v>0.76200000000000001</c:v>
                </c:pt>
                <c:pt idx="6">
                  <c:v>0.38500000000000001</c:v>
                </c:pt>
                <c:pt idx="7">
                  <c:v>0.16200000000000001</c:v>
                </c:pt>
              </c:numCache>
            </c:numRef>
          </c:val>
          <c:extLst>
            <c:ext xmlns:c16="http://schemas.microsoft.com/office/drawing/2014/chart" uri="{C3380CC4-5D6E-409C-BE32-E72D297353CC}">
              <c16:uniqueId val="{0000000A-DEF0-4B32-8E26-8893BC84FFD9}"/>
            </c:ext>
          </c:extLst>
        </c:ser>
        <c:dLbls>
          <c:showLegendKey val="0"/>
          <c:showVal val="0"/>
          <c:showCatName val="0"/>
          <c:showSerName val="0"/>
          <c:showPercent val="0"/>
          <c:showBubbleSize val="0"/>
        </c:dLbls>
        <c:gapWidth val="50"/>
        <c:overlap val="100"/>
        <c:axId val="1833594063"/>
        <c:axId val="2034628015"/>
      </c:barChart>
      <c:catAx>
        <c:axId val="1833594063"/>
        <c:scaling>
          <c:orientation val="maxMin"/>
        </c:scaling>
        <c:delete val="0"/>
        <c:axPos val="l"/>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2034628015"/>
        <c:crosses val="autoZero"/>
        <c:auto val="1"/>
        <c:lblAlgn val="ctr"/>
        <c:lblOffset val="100"/>
        <c:noMultiLvlLbl val="0"/>
      </c:catAx>
      <c:valAx>
        <c:axId val="2034628015"/>
        <c:scaling>
          <c:orientation val="minMax"/>
          <c:max val="18"/>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r>
                  <a:rPr lang="en-AU" sz="1100" b="0">
                    <a:solidFill>
                      <a:schemeClr val="tx1">
                        <a:lumMod val="85000"/>
                        <a:lumOff val="15000"/>
                      </a:schemeClr>
                    </a:solidFill>
                  </a:rPr>
                  <a:t>$</a:t>
                </a:r>
                <a:r>
                  <a:rPr lang="en-AU" sz="1100" b="0" baseline="0">
                    <a:solidFill>
                      <a:schemeClr val="tx1">
                        <a:lumMod val="85000"/>
                        <a:lumOff val="15000"/>
                      </a:schemeClr>
                    </a:solidFill>
                  </a:rPr>
                  <a:t> b</a:t>
                </a:r>
                <a:r>
                  <a:rPr lang="en-AU" sz="1100" b="0">
                    <a:solidFill>
                      <a:schemeClr val="tx1">
                        <a:lumMod val="85000"/>
                        <a:lumOff val="15000"/>
                      </a:schemeClr>
                    </a:solidFill>
                  </a:rPr>
                  <a:t>illion</a:t>
                </a:r>
              </a:p>
            </c:rich>
          </c:tx>
          <c:layout>
            <c:manualLayout>
              <c:xMode val="edge"/>
              <c:yMode val="edge"/>
              <c:x val="0.5403624909699708"/>
              <c:y val="0.8865770039614613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title>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crossAx val="1833594063"/>
        <c:crosses val="autoZero"/>
        <c:crossBetween val="between"/>
        <c:majorUnit val="3"/>
      </c:valAx>
      <c:spPr>
        <a:noFill/>
        <a:ln>
          <a:noFill/>
        </a:ln>
        <a:effectLst/>
      </c:spPr>
    </c:plotArea>
    <c:legend>
      <c:legendPos val="b"/>
      <c:layout>
        <c:manualLayout>
          <c:xMode val="edge"/>
          <c:yMode val="edge"/>
          <c:x val="0.25999039436831661"/>
          <c:y val="2.8450190929713164E-2"/>
          <c:w val="0.73006865819109357"/>
          <c:h val="8.371719160104987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13310743996765"/>
          <c:y val="0.1401672398783568"/>
          <c:w val="0.76331923575055283"/>
          <c:h val="0.64117716726457241"/>
        </c:manualLayout>
      </c:layout>
      <c:barChart>
        <c:barDir val="bar"/>
        <c:grouping val="stacked"/>
        <c:varyColors val="0"/>
        <c:ser>
          <c:idx val="0"/>
          <c:order val="0"/>
          <c:tx>
            <c:strRef>
              <c:f>'Figure 5'!$B$3</c:f>
              <c:strCache>
                <c:ptCount val="1"/>
                <c:pt idx="0">
                  <c:v>Capital cities</c:v>
                </c:pt>
              </c:strCache>
            </c:strRef>
          </c:tx>
          <c:spPr>
            <a:solidFill>
              <a:schemeClr val="tx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5'!$A$4:$A$6</c:f>
              <c:strCache>
                <c:ptCount val="3"/>
                <c:pt idx="0">
                  <c:v>Proposed</c:v>
                </c:pt>
                <c:pt idx="1">
                  <c:v>Planning</c:v>
                </c:pt>
                <c:pt idx="2">
                  <c:v>Under construction</c:v>
                </c:pt>
              </c:strCache>
            </c:strRef>
          </c:cat>
          <c:val>
            <c:numRef>
              <c:f>'Figure 5'!$B$4:$B$6</c:f>
              <c:numCache>
                <c:formatCode>"$"#,##0.0</c:formatCode>
                <c:ptCount val="3"/>
                <c:pt idx="0">
                  <c:v>3.3</c:v>
                </c:pt>
                <c:pt idx="1">
                  <c:v>4.12</c:v>
                </c:pt>
                <c:pt idx="2">
                  <c:v>8.2579999999999991</c:v>
                </c:pt>
              </c:numCache>
            </c:numRef>
          </c:val>
          <c:extLst>
            <c:ext xmlns:c16="http://schemas.microsoft.com/office/drawing/2014/chart" uri="{C3380CC4-5D6E-409C-BE32-E72D297353CC}">
              <c16:uniqueId val="{00000000-A50F-42F1-9CD7-8CA7E22EE7FB}"/>
            </c:ext>
          </c:extLst>
        </c:ser>
        <c:ser>
          <c:idx val="2"/>
          <c:order val="1"/>
          <c:tx>
            <c:strRef>
              <c:f>'Figure 5'!$C$3</c:f>
              <c:strCache>
                <c:ptCount val="1"/>
                <c:pt idx="0">
                  <c:v>Regional</c:v>
                </c:pt>
              </c:strCache>
            </c:strRef>
          </c:tx>
          <c:spPr>
            <a:solidFill>
              <a:schemeClr val="accent1"/>
            </a:solidFill>
            <a:ln>
              <a:noFill/>
            </a:ln>
            <a:effectLst/>
          </c:spPr>
          <c:invertIfNegative val="0"/>
          <c:dLbls>
            <c:dLbl>
              <c:idx val="0"/>
              <c:tx>
                <c:rich>
                  <a:bodyPr/>
                  <a:lstStyle/>
                  <a:p>
                    <a:fld id="{49FE67DB-A6B3-47AC-BBD0-EA5550AC0482}" type="VALUE">
                      <a:rPr lang="en-US" sz="1100"/>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50F-42F1-9CD7-8CA7E22EE7FB}"/>
                </c:ext>
              </c:extLst>
            </c:dLbl>
            <c:dLbl>
              <c:idx val="1"/>
              <c:layout>
                <c:manualLayout>
                  <c:x val="-1.0032102728732015E-2"/>
                  <c:y val="5.120327700972768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82-4C18-B89D-501C1AD11C2D}"/>
                </c:ext>
              </c:extLst>
            </c:dLbl>
            <c:dLbl>
              <c:idx val="2"/>
              <c:layout>
                <c:manualLayout>
                  <c:x val="-4.914004914004913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0F-42F1-9CD7-8CA7E22EE7F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5'!$A$4:$A$6</c:f>
              <c:strCache>
                <c:ptCount val="3"/>
                <c:pt idx="0">
                  <c:v>Proposed</c:v>
                </c:pt>
                <c:pt idx="1">
                  <c:v>Planning</c:v>
                </c:pt>
                <c:pt idx="2">
                  <c:v>Under construction</c:v>
                </c:pt>
              </c:strCache>
            </c:strRef>
          </c:cat>
          <c:val>
            <c:numRef>
              <c:f>'Figure 5'!$C$4:$C$6</c:f>
              <c:numCache>
                <c:formatCode>"$"#,##0.0</c:formatCode>
                <c:ptCount val="3"/>
                <c:pt idx="0">
                  <c:v>7</c:v>
                </c:pt>
                <c:pt idx="1">
                  <c:v>0.157</c:v>
                </c:pt>
                <c:pt idx="2">
                  <c:v>0.245</c:v>
                </c:pt>
              </c:numCache>
            </c:numRef>
          </c:val>
          <c:extLst>
            <c:ext xmlns:c16="http://schemas.microsoft.com/office/drawing/2014/chart" uri="{C3380CC4-5D6E-409C-BE32-E72D297353CC}">
              <c16:uniqueId val="{00000003-A50F-42F1-9CD7-8CA7E22EE7FB}"/>
            </c:ext>
          </c:extLst>
        </c:ser>
        <c:dLbls>
          <c:showLegendKey val="0"/>
          <c:showVal val="0"/>
          <c:showCatName val="0"/>
          <c:showSerName val="0"/>
          <c:showPercent val="0"/>
          <c:showBubbleSize val="0"/>
        </c:dLbls>
        <c:gapWidth val="60"/>
        <c:overlap val="100"/>
        <c:axId val="2079787231"/>
        <c:axId val="476176399"/>
      </c:barChart>
      <c:catAx>
        <c:axId val="2079787231"/>
        <c:scaling>
          <c:orientation val="minMax"/>
        </c:scaling>
        <c:delete val="0"/>
        <c:axPos val="l"/>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476176399"/>
        <c:crosses val="autoZero"/>
        <c:auto val="1"/>
        <c:lblAlgn val="ctr"/>
        <c:lblOffset val="100"/>
        <c:noMultiLvlLbl val="0"/>
      </c:catAx>
      <c:valAx>
        <c:axId val="476176399"/>
        <c:scaling>
          <c:orientation val="minMax"/>
          <c:max val="1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sz="1100" b="0">
                    <a:solidFill>
                      <a:schemeClr val="tx1">
                        <a:lumMod val="85000"/>
                        <a:lumOff val="15000"/>
                      </a:schemeClr>
                    </a:solidFill>
                  </a:rPr>
                  <a:t>$</a:t>
                </a:r>
                <a:r>
                  <a:rPr lang="en-AU" sz="1100" b="0" baseline="0">
                    <a:solidFill>
                      <a:schemeClr val="tx1">
                        <a:lumMod val="85000"/>
                        <a:lumOff val="15000"/>
                      </a:schemeClr>
                    </a:solidFill>
                  </a:rPr>
                  <a:t> b</a:t>
                </a:r>
                <a:r>
                  <a:rPr lang="en-AU" sz="1100" b="0">
                    <a:solidFill>
                      <a:schemeClr val="tx1">
                        <a:lumMod val="85000"/>
                        <a:lumOff val="15000"/>
                      </a:schemeClr>
                    </a:solidFill>
                  </a:rPr>
                  <a:t>illion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crossAx val="2079787231"/>
        <c:crosses val="autoZero"/>
        <c:crossBetween val="between"/>
        <c:majorUnit val="2"/>
      </c:valAx>
      <c:spPr>
        <a:noFill/>
        <a:ln>
          <a:noFill/>
        </a:ln>
        <a:effectLst/>
      </c:spPr>
    </c:plotArea>
    <c:legend>
      <c:legendPos val="b"/>
      <c:layout>
        <c:manualLayout>
          <c:xMode val="edge"/>
          <c:yMode val="edge"/>
          <c:x val="0.2270623090275426"/>
          <c:y val="3.6387165783751528E-2"/>
          <c:w val="0.66806435221798133"/>
          <c:h val="7.81255468066491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04423434029292"/>
          <c:y val="9.6992140485201786E-2"/>
          <c:w val="0.6859355063343936"/>
          <c:h val="0.6560972543102771"/>
        </c:manualLayout>
      </c:layout>
      <c:barChart>
        <c:barDir val="bar"/>
        <c:grouping val="stacked"/>
        <c:varyColors val="0"/>
        <c:ser>
          <c:idx val="0"/>
          <c:order val="0"/>
          <c:tx>
            <c:strRef>
              <c:f>'Figure 6'!$H$3</c:f>
              <c:strCache>
                <c:ptCount val="1"/>
                <c:pt idx="0">
                  <c:v>Capital cities</c:v>
                </c:pt>
              </c:strCache>
            </c:strRef>
          </c:tx>
          <c:spPr>
            <a:solidFill>
              <a:schemeClr val="tx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6'!$G$4:$G$11</c:f>
              <c:strCache>
                <c:ptCount val="8"/>
                <c:pt idx="0">
                  <c:v>Queensland</c:v>
                </c:pt>
                <c:pt idx="1">
                  <c:v>New South Wales</c:v>
                </c:pt>
                <c:pt idx="2">
                  <c:v>Victoria</c:v>
                </c:pt>
                <c:pt idx="3">
                  <c:v>Tasmania</c:v>
                </c:pt>
                <c:pt idx="4">
                  <c:v>Northern Territory</c:v>
                </c:pt>
                <c:pt idx="5">
                  <c:v>Western Australia</c:v>
                </c:pt>
                <c:pt idx="6">
                  <c:v>Australian Capital Territory</c:v>
                </c:pt>
                <c:pt idx="7">
                  <c:v>South Australia</c:v>
                </c:pt>
              </c:strCache>
            </c:strRef>
          </c:cat>
          <c:val>
            <c:numRef>
              <c:f>'Figure 6'!$H$4:$H$11</c:f>
              <c:numCache>
                <c:formatCode>"$"#,##0.0</c:formatCode>
                <c:ptCount val="8"/>
                <c:pt idx="0">
                  <c:v>7.68</c:v>
                </c:pt>
                <c:pt idx="1">
                  <c:v>6.8124955379999994</c:v>
                </c:pt>
                <c:pt idx="2">
                  <c:v>2.8079999999999998</c:v>
                </c:pt>
                <c:pt idx="3">
                  <c:v>1.3169999999999999</c:v>
                </c:pt>
                <c:pt idx="4">
                  <c:v>1.238</c:v>
                </c:pt>
                <c:pt idx="5">
                  <c:v>1.54</c:v>
                </c:pt>
                <c:pt idx="6">
                  <c:v>1.35</c:v>
                </c:pt>
                <c:pt idx="7">
                  <c:v>0.92600000000000005</c:v>
                </c:pt>
              </c:numCache>
            </c:numRef>
          </c:val>
          <c:extLst>
            <c:ext xmlns:c16="http://schemas.microsoft.com/office/drawing/2014/chart" uri="{C3380CC4-5D6E-409C-BE32-E72D297353CC}">
              <c16:uniqueId val="{00000000-4CC4-4CA1-B6CC-4D1E836CA672}"/>
            </c:ext>
          </c:extLst>
        </c:ser>
        <c:ser>
          <c:idx val="1"/>
          <c:order val="1"/>
          <c:tx>
            <c:strRef>
              <c:f>'Figure 6'!$I$3</c:f>
              <c:strCache>
                <c:ptCount val="1"/>
                <c:pt idx="0">
                  <c:v>Regional</c:v>
                </c:pt>
              </c:strCache>
            </c:strRef>
          </c:tx>
          <c:spPr>
            <a:solidFill>
              <a:schemeClr val="accent1"/>
            </a:solidFill>
            <a:ln>
              <a:noFill/>
            </a:ln>
            <a:effectLst/>
          </c:spPr>
          <c:invertIfNegative val="0"/>
          <c:dLbls>
            <c:dLbl>
              <c:idx val="2"/>
              <c:layout>
                <c:manualLayout>
                  <c:x val="5.641394429586519E-17"/>
                  <c:y val="3.282891702709256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C4-4CA1-B6CC-4D1E836CA672}"/>
                </c:ext>
              </c:extLst>
            </c:dLbl>
            <c:dLbl>
              <c:idx val="5"/>
              <c:layout>
                <c:manualLayout>
                  <c:x val="-8.6286352548628053E-3"/>
                  <c:y val="3.143319659892813E-7"/>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6.8004988875582803E-2"/>
                      <c:h val="5.5946712101887827E-2"/>
                    </c:manualLayout>
                  </c15:layout>
                </c:ext>
                <c:ext xmlns:c16="http://schemas.microsoft.com/office/drawing/2014/chart" uri="{C3380CC4-5D6E-409C-BE32-E72D297353CC}">
                  <c16:uniqueId val="{00000002-4CC4-4CA1-B6CC-4D1E836CA672}"/>
                </c:ext>
              </c:extLst>
            </c:dLbl>
            <c:dLbl>
              <c:idx val="6"/>
              <c:delete val="1"/>
              <c:extLst>
                <c:ext xmlns:c15="http://schemas.microsoft.com/office/drawing/2012/chart" uri="{CE6537A1-D6FC-4f65-9D91-7224C49458BB}"/>
                <c:ext xmlns:c16="http://schemas.microsoft.com/office/drawing/2014/chart" uri="{C3380CC4-5D6E-409C-BE32-E72D297353CC}">
                  <c16:uniqueId val="{00000003-4CC4-4CA1-B6CC-4D1E836CA672}"/>
                </c:ext>
              </c:extLst>
            </c:dLbl>
            <c:dLbl>
              <c:idx val="7"/>
              <c:delete val="1"/>
              <c:extLst>
                <c:ext xmlns:c15="http://schemas.microsoft.com/office/drawing/2012/chart" uri="{CE6537A1-D6FC-4f65-9D91-7224C49458BB}"/>
                <c:ext xmlns:c16="http://schemas.microsoft.com/office/drawing/2014/chart" uri="{C3380CC4-5D6E-409C-BE32-E72D297353CC}">
                  <c16:uniqueId val="{00000004-4CC4-4CA1-B6CC-4D1E836CA67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6'!$G$4:$G$11</c:f>
              <c:strCache>
                <c:ptCount val="8"/>
                <c:pt idx="0">
                  <c:v>Queensland</c:v>
                </c:pt>
                <c:pt idx="1">
                  <c:v>New South Wales</c:v>
                </c:pt>
                <c:pt idx="2">
                  <c:v>Victoria</c:v>
                </c:pt>
                <c:pt idx="3">
                  <c:v>Tasmania</c:v>
                </c:pt>
                <c:pt idx="4">
                  <c:v>Northern Territory</c:v>
                </c:pt>
                <c:pt idx="5">
                  <c:v>Western Australia</c:v>
                </c:pt>
                <c:pt idx="6">
                  <c:v>Australian Capital Territory</c:v>
                </c:pt>
                <c:pt idx="7">
                  <c:v>South Australia</c:v>
                </c:pt>
              </c:strCache>
            </c:strRef>
          </c:cat>
          <c:val>
            <c:numRef>
              <c:f>'Figure 6'!$I$4:$I$11</c:f>
              <c:numCache>
                <c:formatCode>"$"#,##0.0</c:formatCode>
                <c:ptCount val="8"/>
                <c:pt idx="0">
                  <c:v>0.93799999999999994</c:v>
                </c:pt>
                <c:pt idx="1">
                  <c:v>0.80598800000000004</c:v>
                </c:pt>
                <c:pt idx="2">
                  <c:v>1.2170000000000001</c:v>
                </c:pt>
                <c:pt idx="3">
                  <c:v>0.94799999999999995</c:v>
                </c:pt>
                <c:pt idx="4">
                  <c:v>0.871</c:v>
                </c:pt>
                <c:pt idx="5">
                  <c:v>0.159</c:v>
                </c:pt>
                <c:pt idx="6">
                  <c:v>0</c:v>
                </c:pt>
                <c:pt idx="7">
                  <c:v>0.27200000000000002</c:v>
                </c:pt>
              </c:numCache>
            </c:numRef>
          </c:val>
          <c:extLst>
            <c:ext xmlns:c16="http://schemas.microsoft.com/office/drawing/2014/chart" uri="{C3380CC4-5D6E-409C-BE32-E72D297353CC}">
              <c16:uniqueId val="{00000005-4CC4-4CA1-B6CC-4D1E836CA672}"/>
            </c:ext>
          </c:extLst>
        </c:ser>
        <c:dLbls>
          <c:showLegendKey val="0"/>
          <c:showVal val="0"/>
          <c:showCatName val="0"/>
          <c:showSerName val="0"/>
          <c:showPercent val="0"/>
          <c:showBubbleSize val="0"/>
        </c:dLbls>
        <c:gapWidth val="50"/>
        <c:overlap val="100"/>
        <c:axId val="2079787231"/>
        <c:axId val="476176399"/>
      </c:barChart>
      <c:catAx>
        <c:axId val="2079787231"/>
        <c:scaling>
          <c:orientation val="maxMin"/>
        </c:scaling>
        <c:delete val="0"/>
        <c:axPos val="l"/>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mn-lt"/>
                <a:ea typeface="+mn-ea"/>
                <a:cs typeface="+mn-cs"/>
              </a:defRPr>
            </a:pPr>
            <a:endParaRPr lang="en-US"/>
          </a:p>
        </c:txPr>
        <c:crossAx val="476176399"/>
        <c:crosses val="autoZero"/>
        <c:auto val="1"/>
        <c:lblAlgn val="ctr"/>
        <c:lblOffset val="100"/>
        <c:noMultiLvlLbl val="0"/>
      </c:catAx>
      <c:valAx>
        <c:axId val="476176399"/>
        <c:scaling>
          <c:orientation val="minMax"/>
          <c:max val="1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sz="1100" b="0">
                    <a:solidFill>
                      <a:schemeClr val="tx1">
                        <a:lumMod val="85000"/>
                        <a:lumOff val="15000"/>
                      </a:schemeClr>
                    </a:solidFill>
                  </a:rPr>
                  <a:t>$</a:t>
                </a:r>
                <a:r>
                  <a:rPr lang="en-AU" sz="1100" b="0" baseline="0">
                    <a:solidFill>
                      <a:schemeClr val="tx1">
                        <a:lumMod val="85000"/>
                        <a:lumOff val="15000"/>
                      </a:schemeClr>
                    </a:solidFill>
                  </a:rPr>
                  <a:t> b</a:t>
                </a:r>
                <a:r>
                  <a:rPr lang="en-AU" sz="1100" b="0">
                    <a:solidFill>
                      <a:schemeClr val="tx1">
                        <a:lumMod val="85000"/>
                        <a:lumOff val="15000"/>
                      </a:schemeClr>
                    </a:solidFill>
                  </a:rPr>
                  <a:t>illion</a:t>
                </a:r>
              </a:p>
            </c:rich>
          </c:tx>
          <c:layout>
            <c:manualLayout>
              <c:xMode val="edge"/>
              <c:yMode val="edge"/>
              <c:x val="0.6039539123620784"/>
              <c:y val="0.8333826834519936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crossAx val="2079787231"/>
        <c:crosses val="autoZero"/>
        <c:crossBetween val="between"/>
        <c:majorUnit val="2"/>
      </c:valAx>
      <c:spPr>
        <a:noFill/>
        <a:ln>
          <a:noFill/>
        </a:ln>
        <a:effectLst/>
      </c:spPr>
    </c:plotArea>
    <c:legend>
      <c:legendPos val="b"/>
      <c:layout>
        <c:manualLayout>
          <c:xMode val="edge"/>
          <c:yMode val="edge"/>
          <c:x val="0.21097630091836009"/>
          <c:y val="1.6555732962730208E-2"/>
          <c:w val="0.7795728228582206"/>
          <c:h val="8.371719160104987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1570102244681"/>
          <c:y val="0.10555242864354557"/>
          <c:w val="0.80962864959987668"/>
          <c:h val="0.61211821249616527"/>
        </c:manualLayout>
      </c:layout>
      <c:barChart>
        <c:barDir val="bar"/>
        <c:grouping val="stacked"/>
        <c:varyColors val="0"/>
        <c:ser>
          <c:idx val="0"/>
          <c:order val="0"/>
          <c:tx>
            <c:strRef>
              <c:f>'Figure 7'!$B$3</c:f>
              <c:strCache>
                <c:ptCount val="1"/>
                <c:pt idx="0">
                  <c:v>Capital cities</c:v>
                </c:pt>
              </c:strCache>
            </c:strRef>
          </c:tx>
          <c:spPr>
            <a:solidFill>
              <a:schemeClr val="tx2"/>
            </a:solidFill>
            <a:ln>
              <a:noFill/>
            </a:ln>
            <a:effectLst/>
          </c:spPr>
          <c:invertIfNegative val="0"/>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78B7-406F-9641-37963EC8CEC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7'!$A$4:$A$6</c:f>
              <c:strCache>
                <c:ptCount val="3"/>
                <c:pt idx="0">
                  <c:v>Proposed</c:v>
                </c:pt>
                <c:pt idx="1">
                  <c:v>Planning</c:v>
                </c:pt>
                <c:pt idx="2">
                  <c:v>Under construction</c:v>
                </c:pt>
              </c:strCache>
            </c:strRef>
          </c:cat>
          <c:val>
            <c:numRef>
              <c:f>'Figure 7'!$B$4:$B$6</c:f>
              <c:numCache>
                <c:formatCode>"$"#,##0.0</c:formatCode>
                <c:ptCount val="3"/>
                <c:pt idx="0">
                  <c:v>0.85599999999999998</c:v>
                </c:pt>
                <c:pt idx="1">
                  <c:v>4.7350000000000003</c:v>
                </c:pt>
                <c:pt idx="2">
                  <c:v>2.38</c:v>
                </c:pt>
              </c:numCache>
            </c:numRef>
          </c:val>
          <c:extLst>
            <c:ext xmlns:c16="http://schemas.microsoft.com/office/drawing/2014/chart" uri="{C3380CC4-5D6E-409C-BE32-E72D297353CC}">
              <c16:uniqueId val="{00000000-8289-42EC-A767-C2759A133EAD}"/>
            </c:ext>
          </c:extLst>
        </c:ser>
        <c:ser>
          <c:idx val="2"/>
          <c:order val="1"/>
          <c:tx>
            <c:strRef>
              <c:f>'Figure 7'!$C$3</c:f>
              <c:strCache>
                <c:ptCount val="1"/>
                <c:pt idx="0">
                  <c:v>Regional</c:v>
                </c:pt>
              </c:strCache>
            </c:strRef>
          </c:tx>
          <c:spPr>
            <a:solidFill>
              <a:schemeClr val="accent1"/>
            </a:solidFill>
            <a:ln>
              <a:noFill/>
            </a:ln>
            <a:effectLst/>
          </c:spPr>
          <c:invertIfNegative val="0"/>
          <c:dLbls>
            <c:dLbl>
              <c:idx val="0"/>
              <c:layout>
                <c:manualLayout>
                  <c:x val="-8.6737402206746635E-3"/>
                  <c:y val="1.1207689947837904E-4"/>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6.5711726153991221E-2"/>
                      <c:h val="7.6064814814814821E-2"/>
                    </c:manualLayout>
                  </c15:layout>
                </c:ext>
                <c:ext xmlns:c16="http://schemas.microsoft.com/office/drawing/2014/chart" uri="{C3380CC4-5D6E-409C-BE32-E72D297353CC}">
                  <c16:uniqueId val="{00000001-8289-42EC-A767-C2759A133EAD}"/>
                </c:ext>
              </c:extLst>
            </c:dLbl>
            <c:dLbl>
              <c:idx val="1"/>
              <c:numFmt formatCode="#,##0.0"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0.10341292982749098"/>
                      <c:h val="9.0916418056438603E-2"/>
                    </c:manualLayout>
                  </c15:layout>
                </c:ext>
                <c:ext xmlns:c16="http://schemas.microsoft.com/office/drawing/2014/chart" uri="{C3380CC4-5D6E-409C-BE32-E72D297353CC}">
                  <c16:uniqueId val="{00000002-8289-42EC-A767-C2759A133EAD}"/>
                </c:ext>
              </c:extLst>
            </c:dLbl>
            <c:dLbl>
              <c:idx val="2"/>
              <c:numFmt formatCode="#,##0.0"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8.0869622129207744E-2"/>
                      <c:h val="9.1279503105590049E-2"/>
                    </c:manualLayout>
                  </c15:layout>
                </c:ext>
                <c:ext xmlns:c16="http://schemas.microsoft.com/office/drawing/2014/chart" uri="{C3380CC4-5D6E-409C-BE32-E72D297353CC}">
                  <c16:uniqueId val="{00000003-8289-42EC-A767-C2759A133EA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7'!$A$4:$A$6</c:f>
              <c:strCache>
                <c:ptCount val="3"/>
                <c:pt idx="0">
                  <c:v>Proposed</c:v>
                </c:pt>
                <c:pt idx="1">
                  <c:v>Planning</c:v>
                </c:pt>
                <c:pt idx="2">
                  <c:v>Under construction</c:v>
                </c:pt>
              </c:strCache>
            </c:strRef>
          </c:cat>
          <c:val>
            <c:numRef>
              <c:f>'Figure 7'!$C$4:$C$6</c:f>
              <c:numCache>
                <c:formatCode>"$"#,##0.0</c:formatCode>
                <c:ptCount val="3"/>
                <c:pt idx="0">
                  <c:v>0.2</c:v>
                </c:pt>
                <c:pt idx="1">
                  <c:v>2.4089999999999998</c:v>
                </c:pt>
                <c:pt idx="2">
                  <c:v>0.86899999999999999</c:v>
                </c:pt>
              </c:numCache>
            </c:numRef>
          </c:val>
          <c:extLst>
            <c:ext xmlns:c16="http://schemas.microsoft.com/office/drawing/2014/chart" uri="{C3380CC4-5D6E-409C-BE32-E72D297353CC}">
              <c16:uniqueId val="{00000004-8289-42EC-A767-C2759A133EAD}"/>
            </c:ext>
          </c:extLst>
        </c:ser>
        <c:dLbls>
          <c:showLegendKey val="0"/>
          <c:showVal val="0"/>
          <c:showCatName val="0"/>
          <c:showSerName val="0"/>
          <c:showPercent val="0"/>
          <c:showBubbleSize val="0"/>
        </c:dLbls>
        <c:gapWidth val="60"/>
        <c:overlap val="100"/>
        <c:axId val="2079787231"/>
        <c:axId val="476176399"/>
      </c:barChart>
      <c:catAx>
        <c:axId val="20797872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476176399"/>
        <c:crosses val="autoZero"/>
        <c:auto val="1"/>
        <c:lblAlgn val="ctr"/>
        <c:lblOffset val="100"/>
        <c:noMultiLvlLbl val="0"/>
      </c:catAx>
      <c:valAx>
        <c:axId val="476176399"/>
        <c:scaling>
          <c:orientation val="minMax"/>
          <c:max val="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100">
                    <a:solidFill>
                      <a:schemeClr val="tx1">
                        <a:lumMod val="85000"/>
                        <a:lumOff val="15000"/>
                      </a:schemeClr>
                    </a:solidFill>
                  </a:rPr>
                  <a:t>$</a:t>
                </a:r>
                <a:r>
                  <a:rPr lang="en-AU" sz="1100" baseline="0">
                    <a:solidFill>
                      <a:schemeClr val="tx1">
                        <a:lumMod val="85000"/>
                        <a:lumOff val="15000"/>
                      </a:schemeClr>
                    </a:solidFill>
                  </a:rPr>
                  <a:t> b</a:t>
                </a:r>
                <a:r>
                  <a:rPr lang="en-AU" sz="1100">
                    <a:solidFill>
                      <a:schemeClr val="tx1">
                        <a:lumMod val="85000"/>
                        <a:lumOff val="15000"/>
                      </a:schemeClr>
                    </a:solidFill>
                  </a:rPr>
                  <a:t>illion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crossAx val="2079787231"/>
        <c:crosses val="autoZero"/>
        <c:crossBetween val="between"/>
        <c:majorUnit val="2"/>
      </c:valAx>
      <c:spPr>
        <a:noFill/>
        <a:ln>
          <a:noFill/>
        </a:ln>
        <a:effectLst/>
      </c:spPr>
    </c:plotArea>
    <c:legend>
      <c:legendPos val="b"/>
      <c:layout>
        <c:manualLayout>
          <c:xMode val="edge"/>
          <c:yMode val="edge"/>
          <c:x val="0.31348295065543313"/>
          <c:y val="3.1429307578496199E-2"/>
          <c:w val="0.66806435221798133"/>
          <c:h val="7.81255468066491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13311889384614"/>
          <c:y val="8.8972578159633539E-2"/>
          <c:w val="0.74025933756875006"/>
          <c:h val="0.63122627768043738"/>
        </c:manualLayout>
      </c:layout>
      <c:barChart>
        <c:barDir val="bar"/>
        <c:grouping val="stacked"/>
        <c:varyColors val="0"/>
        <c:ser>
          <c:idx val="0"/>
          <c:order val="0"/>
          <c:tx>
            <c:strRef>
              <c:f>'Figure 8'!$B$3</c:f>
              <c:strCache>
                <c:ptCount val="1"/>
                <c:pt idx="0">
                  <c:v>Capital cities</c:v>
                </c:pt>
              </c:strCache>
            </c:strRef>
          </c:tx>
          <c:spPr>
            <a:solidFill>
              <a:schemeClr val="tx2"/>
            </a:solidFill>
            <a:ln>
              <a:noFill/>
            </a:ln>
            <a:effectLst/>
          </c:spPr>
          <c:invertIfNegative val="0"/>
          <c:dLbls>
            <c:dLbl>
              <c:idx val="0"/>
              <c:layout>
                <c:manualLayout>
                  <c:x val="-1.203852327447833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66-4290-A0E9-34A4DC20FAE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8'!$A$4:$A$6</c:f>
              <c:strCache>
                <c:ptCount val="3"/>
                <c:pt idx="0">
                  <c:v>Proposed</c:v>
                </c:pt>
                <c:pt idx="1">
                  <c:v>Planning</c:v>
                </c:pt>
                <c:pt idx="2">
                  <c:v>Under construction</c:v>
                </c:pt>
              </c:strCache>
            </c:strRef>
          </c:cat>
          <c:val>
            <c:numRef>
              <c:f>'Figure 8'!$B$4:$B$6</c:f>
              <c:numCache>
                <c:formatCode>"$"#,##0.0</c:formatCode>
                <c:ptCount val="3"/>
                <c:pt idx="0">
                  <c:v>4.6630000000000003</c:v>
                </c:pt>
                <c:pt idx="1">
                  <c:v>45.481000000000002</c:v>
                </c:pt>
                <c:pt idx="2">
                  <c:v>23.475000000000001</c:v>
                </c:pt>
              </c:numCache>
            </c:numRef>
          </c:val>
          <c:extLst>
            <c:ext xmlns:c16="http://schemas.microsoft.com/office/drawing/2014/chart" uri="{C3380CC4-5D6E-409C-BE32-E72D297353CC}">
              <c16:uniqueId val="{00000000-2DDB-4D4E-98F8-FCD631C4E1A7}"/>
            </c:ext>
          </c:extLst>
        </c:ser>
        <c:ser>
          <c:idx val="2"/>
          <c:order val="1"/>
          <c:tx>
            <c:strRef>
              <c:f>'Figure 8'!$C$3</c:f>
              <c:strCache>
                <c:ptCount val="1"/>
                <c:pt idx="0">
                  <c:v>Regional</c:v>
                </c:pt>
              </c:strCache>
            </c:strRef>
          </c:tx>
          <c:spPr>
            <a:solidFill>
              <a:schemeClr val="accent1"/>
            </a:solidFill>
            <a:ln>
              <a:noFill/>
            </a:ln>
            <a:effectLst/>
          </c:spPr>
          <c:invertIfNegative val="0"/>
          <c:dLbls>
            <c:dLbl>
              <c:idx val="0"/>
              <c:layout>
                <c:manualLayout>
                  <c:x val="-8.0256821829855912E-3"/>
                  <c:y val="1.072386058981223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66-4290-A0E9-34A4DC20FAE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8'!$A$4:$A$6</c:f>
              <c:strCache>
                <c:ptCount val="3"/>
                <c:pt idx="0">
                  <c:v>Proposed</c:v>
                </c:pt>
                <c:pt idx="1">
                  <c:v>Planning</c:v>
                </c:pt>
                <c:pt idx="2">
                  <c:v>Under construction</c:v>
                </c:pt>
              </c:strCache>
            </c:strRef>
          </c:cat>
          <c:val>
            <c:numRef>
              <c:f>'Figure 8'!$C$4:$C$6</c:f>
              <c:numCache>
                <c:formatCode>"$"#,##0.0</c:formatCode>
                <c:ptCount val="3"/>
                <c:pt idx="0">
                  <c:v>1.02</c:v>
                </c:pt>
                <c:pt idx="1">
                  <c:v>8.33</c:v>
                </c:pt>
                <c:pt idx="2">
                  <c:v>2.3010000000000002</c:v>
                </c:pt>
              </c:numCache>
            </c:numRef>
          </c:val>
          <c:extLst>
            <c:ext xmlns:c16="http://schemas.microsoft.com/office/drawing/2014/chart" uri="{C3380CC4-5D6E-409C-BE32-E72D297353CC}">
              <c16:uniqueId val="{00000001-2DDB-4D4E-98F8-FCD631C4E1A7}"/>
            </c:ext>
          </c:extLst>
        </c:ser>
        <c:dLbls>
          <c:showLegendKey val="0"/>
          <c:showVal val="0"/>
          <c:showCatName val="0"/>
          <c:showSerName val="0"/>
          <c:showPercent val="0"/>
          <c:showBubbleSize val="0"/>
        </c:dLbls>
        <c:gapWidth val="60"/>
        <c:overlap val="100"/>
        <c:axId val="2079787231"/>
        <c:axId val="476176399"/>
      </c:barChart>
      <c:catAx>
        <c:axId val="2079787231"/>
        <c:scaling>
          <c:orientation val="minMax"/>
        </c:scaling>
        <c:delete val="0"/>
        <c:axPos val="l"/>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476176399"/>
        <c:crosses val="autoZero"/>
        <c:auto val="1"/>
        <c:lblAlgn val="ctr"/>
        <c:lblOffset val="100"/>
        <c:noMultiLvlLbl val="0"/>
      </c:catAx>
      <c:valAx>
        <c:axId val="476176399"/>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100">
                    <a:solidFill>
                      <a:schemeClr val="tx1">
                        <a:lumMod val="85000"/>
                        <a:lumOff val="15000"/>
                      </a:schemeClr>
                    </a:solidFill>
                  </a:rPr>
                  <a:t>$</a:t>
                </a:r>
                <a:r>
                  <a:rPr lang="en-AU" sz="1100" baseline="0">
                    <a:solidFill>
                      <a:schemeClr val="tx1">
                        <a:lumMod val="85000"/>
                        <a:lumOff val="15000"/>
                      </a:schemeClr>
                    </a:solidFill>
                  </a:rPr>
                  <a:t> b</a:t>
                </a:r>
                <a:r>
                  <a:rPr lang="en-AU" sz="1100">
                    <a:solidFill>
                      <a:schemeClr val="tx1">
                        <a:lumMod val="85000"/>
                        <a:lumOff val="15000"/>
                      </a:schemeClr>
                    </a:solidFill>
                  </a:rPr>
                  <a:t>illion</a:t>
                </a:r>
              </a:p>
            </c:rich>
          </c:tx>
          <c:layout>
            <c:manualLayout>
              <c:xMode val="edge"/>
              <c:yMode val="edge"/>
              <c:x val="0.53570622843492866"/>
              <c:y val="0.823379704882734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crossAx val="2079787231"/>
        <c:crosses val="autoZero"/>
        <c:crossBetween val="between"/>
        <c:majorUnit val="10"/>
      </c:valAx>
      <c:spPr>
        <a:noFill/>
        <a:ln>
          <a:noFill/>
        </a:ln>
        <a:effectLst/>
      </c:spPr>
    </c:plotArea>
    <c:legend>
      <c:legendPos val="b"/>
      <c:layout>
        <c:manualLayout>
          <c:xMode val="edge"/>
          <c:yMode val="edge"/>
          <c:x val="0.22008022522989137"/>
          <c:y val="6.6400165522195482E-3"/>
          <c:w val="0.77626834139101675"/>
          <c:h val="7.81255468066491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0.88149</cdr:x>
      <cdr:y>0.53365</cdr:y>
    </cdr:from>
    <cdr:to>
      <cdr:x>0.98345</cdr:x>
      <cdr:y>0.66097</cdr:y>
    </cdr:to>
    <cdr:sp macro="" textlink="">
      <cdr:nvSpPr>
        <cdr:cNvPr id="2" name="TextBox 1">
          <a:extLst xmlns:a="http://schemas.openxmlformats.org/drawingml/2006/main">
            <a:ext uri="{FF2B5EF4-FFF2-40B4-BE49-F238E27FC236}">
              <a16:creationId xmlns:a16="http://schemas.microsoft.com/office/drawing/2014/main" id="{809607F4-FAB0-698D-E20C-8E1CA5D79D45}"/>
            </a:ext>
          </a:extLst>
        </cdr:cNvPr>
        <cdr:cNvSpPr txBox="1"/>
      </cdr:nvSpPr>
      <cdr:spPr>
        <a:xfrm xmlns:a="http://schemas.openxmlformats.org/drawingml/2006/main">
          <a:off x="5579531" y="1128777"/>
          <a:ext cx="645374" cy="2693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200" b="1">
              <a:latin typeface="Verdana" panose="020B0604030504040204" pitchFamily="34" charset="0"/>
              <a:ea typeface="Verdana" panose="020B0604030504040204" pitchFamily="34" charset="0"/>
            </a:rPr>
            <a:t>$63.4b</a:t>
          </a:r>
        </a:p>
      </cdr:txBody>
    </cdr:sp>
  </cdr:relSizeAnchor>
  <cdr:relSizeAnchor xmlns:cdr="http://schemas.openxmlformats.org/drawingml/2006/chartDrawing">
    <cdr:from>
      <cdr:x>0.81022</cdr:x>
      <cdr:y>0.21066</cdr:y>
    </cdr:from>
    <cdr:to>
      <cdr:x>0.94209</cdr:x>
      <cdr:y>0.33041</cdr:y>
    </cdr:to>
    <cdr:sp macro="" textlink="">
      <cdr:nvSpPr>
        <cdr:cNvPr id="4" name="TextBox 1">
          <a:extLst xmlns:a="http://schemas.openxmlformats.org/drawingml/2006/main">
            <a:ext uri="{FF2B5EF4-FFF2-40B4-BE49-F238E27FC236}">
              <a16:creationId xmlns:a16="http://schemas.microsoft.com/office/drawing/2014/main" id="{520B9496-0601-F431-EEFA-11C072E718A7}"/>
            </a:ext>
          </a:extLst>
        </cdr:cNvPr>
        <cdr:cNvSpPr txBox="1"/>
      </cdr:nvSpPr>
      <cdr:spPr>
        <a:xfrm xmlns:a="http://schemas.openxmlformats.org/drawingml/2006/main">
          <a:off x="5863668" y="593940"/>
          <a:ext cx="954328" cy="33760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$56.1b</a:t>
          </a:r>
        </a:p>
      </cdr:txBody>
    </cdr:sp>
  </cdr:relSizeAnchor>
  <cdr:relSizeAnchor xmlns:cdr="http://schemas.openxmlformats.org/drawingml/2006/chartDrawing">
    <cdr:from>
      <cdr:x>0.02187</cdr:x>
      <cdr:y>0.88848</cdr:y>
    </cdr:from>
    <cdr:to>
      <cdr:x>0.4068</cdr:x>
      <cdr:y>0.99257</cdr:y>
    </cdr:to>
    <cdr:sp macro="" textlink="">
      <cdr:nvSpPr>
        <cdr:cNvPr id="3" name="TextBox 2">
          <a:extLst xmlns:a="http://schemas.openxmlformats.org/drawingml/2006/main">
            <a:ext uri="{FF2B5EF4-FFF2-40B4-BE49-F238E27FC236}">
              <a16:creationId xmlns:a16="http://schemas.microsoft.com/office/drawing/2014/main" id="{36364629-CF52-BAEB-2636-C30D58F9BFD5}"/>
            </a:ext>
          </a:extLst>
        </cdr:cNvPr>
        <cdr:cNvSpPr txBox="1"/>
      </cdr:nvSpPr>
      <cdr:spPr>
        <a:xfrm xmlns:a="http://schemas.openxmlformats.org/drawingml/2006/main">
          <a:off x="159358" y="2474515"/>
          <a:ext cx="2804822" cy="289902"/>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r>
            <a:rPr lang="en-AU" sz="1100">
              <a:solidFill>
                <a:schemeClr val="tx1">
                  <a:lumMod val="85000"/>
                  <a:lumOff val="15000"/>
                </a:schemeClr>
              </a:solidFill>
            </a:rPr>
            <a:t>Source: Tourism Research</a:t>
          </a:r>
          <a:r>
            <a:rPr lang="en-AU" sz="1100" baseline="0">
              <a:solidFill>
                <a:schemeClr val="tx1">
                  <a:lumMod val="85000"/>
                  <a:lumOff val="15000"/>
                </a:schemeClr>
              </a:solidFill>
            </a:rPr>
            <a:t> Australia</a:t>
          </a:r>
          <a:endParaRPr lang="en-AU" sz="1100">
            <a:solidFill>
              <a:schemeClr val="tx1">
                <a:lumMod val="85000"/>
                <a:lumOff val="15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0.80677</cdr:x>
      <cdr:y>0.20979</cdr:y>
    </cdr:from>
    <cdr:to>
      <cdr:x>0.90321</cdr:x>
      <cdr:y>0.33711</cdr:y>
    </cdr:to>
    <cdr:sp macro="" textlink="">
      <cdr:nvSpPr>
        <cdr:cNvPr id="2" name="TextBox 1">
          <a:extLst xmlns:a="http://schemas.openxmlformats.org/drawingml/2006/main">
            <a:ext uri="{FF2B5EF4-FFF2-40B4-BE49-F238E27FC236}">
              <a16:creationId xmlns:a16="http://schemas.microsoft.com/office/drawing/2014/main" id="{809607F4-FAB0-698D-E20C-8E1CA5D79D45}"/>
            </a:ext>
          </a:extLst>
        </cdr:cNvPr>
        <cdr:cNvSpPr txBox="1"/>
      </cdr:nvSpPr>
      <cdr:spPr>
        <a:xfrm xmlns:a="http://schemas.openxmlformats.org/drawingml/2006/main">
          <a:off x="6785922" y="539798"/>
          <a:ext cx="811177" cy="3275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200" b="1"/>
            <a:t>$56.1b</a:t>
          </a:r>
        </a:p>
      </cdr:txBody>
    </cdr:sp>
  </cdr:relSizeAnchor>
  <cdr:relSizeAnchor xmlns:cdr="http://schemas.openxmlformats.org/drawingml/2006/chartDrawing">
    <cdr:from>
      <cdr:x>0.88756</cdr:x>
      <cdr:y>0.51367</cdr:y>
    </cdr:from>
    <cdr:to>
      <cdr:x>0.97716</cdr:x>
      <cdr:y>0.65659</cdr:y>
    </cdr:to>
    <cdr:sp macro="" textlink="">
      <cdr:nvSpPr>
        <cdr:cNvPr id="3" name="TextBox 1">
          <a:extLst xmlns:a="http://schemas.openxmlformats.org/drawingml/2006/main">
            <a:ext uri="{FF2B5EF4-FFF2-40B4-BE49-F238E27FC236}">
              <a16:creationId xmlns:a16="http://schemas.microsoft.com/office/drawing/2014/main" id="{C84CD399-A3AB-35D1-AD15-665C8D1FE7B6}"/>
            </a:ext>
          </a:extLst>
        </cdr:cNvPr>
        <cdr:cNvSpPr txBox="1"/>
      </cdr:nvSpPr>
      <cdr:spPr>
        <a:xfrm xmlns:a="http://schemas.openxmlformats.org/drawingml/2006/main">
          <a:off x="5617950" y="1005620"/>
          <a:ext cx="567139" cy="2797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$63.4b</a:t>
          </a:r>
        </a:p>
      </cdr:txBody>
    </cdr:sp>
  </cdr:relSizeAnchor>
  <cdr:relSizeAnchor xmlns:cdr="http://schemas.openxmlformats.org/drawingml/2006/chartDrawing">
    <cdr:from>
      <cdr:x>0</cdr:x>
      <cdr:y>0.89635</cdr:y>
    </cdr:from>
    <cdr:to>
      <cdr:x>0.42135</cdr:x>
      <cdr:y>1</cdr:y>
    </cdr:to>
    <cdr:sp macro="" textlink="">
      <cdr:nvSpPr>
        <cdr:cNvPr id="4" name="TextBox 1">
          <a:extLst xmlns:a="http://schemas.openxmlformats.org/drawingml/2006/main">
            <a:ext uri="{FF2B5EF4-FFF2-40B4-BE49-F238E27FC236}">
              <a16:creationId xmlns:a16="http://schemas.microsoft.com/office/drawing/2014/main" id="{8726BAB8-B8AB-ED58-BEE3-EFC0AA38E452}"/>
            </a:ext>
          </a:extLst>
        </cdr:cNvPr>
        <cdr:cNvSpPr txBox="1"/>
      </cdr:nvSpPr>
      <cdr:spPr>
        <a:xfrm xmlns:a="http://schemas.openxmlformats.org/drawingml/2006/main">
          <a:off x="0" y="1754788"/>
          <a:ext cx="2667000" cy="202917"/>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solidFill>
                <a:schemeClr val="tx1">
                  <a:lumMod val="85000"/>
                  <a:lumOff val="15000"/>
                </a:schemeClr>
              </a:solidFill>
            </a:rPr>
            <a:t>Source: Tourism Research</a:t>
          </a:r>
          <a:r>
            <a:rPr lang="en-AU" sz="1000" baseline="0">
              <a:solidFill>
                <a:schemeClr val="tx1">
                  <a:lumMod val="85000"/>
                  <a:lumOff val="15000"/>
                </a:schemeClr>
              </a:solidFill>
            </a:rPr>
            <a:t> Australia</a:t>
          </a:r>
          <a:endParaRPr lang="en-AU" sz="1000">
            <a:solidFill>
              <a:schemeClr val="tx1">
                <a:lumMod val="85000"/>
                <a:lumOff val="15000"/>
              </a:schemeClr>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0.54964</cdr:x>
      <cdr:y>0.16689</cdr:y>
    </cdr:from>
    <cdr:to>
      <cdr:x>0.6539</cdr:x>
      <cdr:y>0.29455</cdr:y>
    </cdr:to>
    <cdr:sp macro="" textlink="">
      <cdr:nvSpPr>
        <cdr:cNvPr id="2" name="TextBox 1">
          <a:extLst xmlns:a="http://schemas.openxmlformats.org/drawingml/2006/main">
            <a:ext uri="{FF2B5EF4-FFF2-40B4-BE49-F238E27FC236}">
              <a16:creationId xmlns:a16="http://schemas.microsoft.com/office/drawing/2014/main" id="{2CEDC642-C010-6FB2-C829-877FF315AD37}"/>
            </a:ext>
          </a:extLst>
        </cdr:cNvPr>
        <cdr:cNvSpPr txBox="1"/>
      </cdr:nvSpPr>
      <cdr:spPr>
        <a:xfrm xmlns:a="http://schemas.openxmlformats.org/drawingml/2006/main">
          <a:off x="3479076" y="357039"/>
          <a:ext cx="659932" cy="2731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$11.4b</a:t>
          </a:r>
        </a:p>
      </cdr:txBody>
    </cdr:sp>
  </cdr:relSizeAnchor>
  <cdr:relSizeAnchor xmlns:cdr="http://schemas.openxmlformats.org/drawingml/2006/chartDrawing">
    <cdr:from>
      <cdr:x>0.87294</cdr:x>
      <cdr:y>0.37483</cdr:y>
    </cdr:from>
    <cdr:to>
      <cdr:x>0.96213</cdr:x>
      <cdr:y>0.48517</cdr:y>
    </cdr:to>
    <cdr:sp macro="" textlink="">
      <cdr:nvSpPr>
        <cdr:cNvPr id="3" name="TextBox 1">
          <a:extLst xmlns:a="http://schemas.openxmlformats.org/drawingml/2006/main">
            <a:ext uri="{FF2B5EF4-FFF2-40B4-BE49-F238E27FC236}">
              <a16:creationId xmlns:a16="http://schemas.microsoft.com/office/drawing/2014/main" id="{3DC88F76-7F99-5DD1-4B41-D64A229CD013}"/>
            </a:ext>
          </a:extLst>
        </cdr:cNvPr>
        <cdr:cNvSpPr txBox="1"/>
      </cdr:nvSpPr>
      <cdr:spPr>
        <a:xfrm xmlns:a="http://schemas.openxmlformats.org/drawingml/2006/main">
          <a:off x="5525422" y="935412"/>
          <a:ext cx="564544" cy="2753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$28.9b</a:t>
          </a:r>
        </a:p>
      </cdr:txBody>
    </cdr:sp>
  </cdr:relSizeAnchor>
  <cdr:relSizeAnchor xmlns:cdr="http://schemas.openxmlformats.org/drawingml/2006/chartDrawing">
    <cdr:from>
      <cdr:x>0.78011</cdr:x>
      <cdr:y>0.58202</cdr:y>
    </cdr:from>
    <cdr:to>
      <cdr:x>0.87346</cdr:x>
      <cdr:y>0.70969</cdr:y>
    </cdr:to>
    <cdr:sp macro="" textlink="">
      <cdr:nvSpPr>
        <cdr:cNvPr id="4" name="TextBox 1">
          <a:extLst xmlns:a="http://schemas.openxmlformats.org/drawingml/2006/main">
            <a:ext uri="{FF2B5EF4-FFF2-40B4-BE49-F238E27FC236}">
              <a16:creationId xmlns:a16="http://schemas.microsoft.com/office/drawing/2014/main" id="{48E986D7-C2C0-CFBD-2692-91E05250CC10}"/>
            </a:ext>
          </a:extLst>
        </cdr:cNvPr>
        <cdr:cNvSpPr txBox="1"/>
      </cdr:nvSpPr>
      <cdr:spPr>
        <a:xfrm xmlns:a="http://schemas.openxmlformats.org/drawingml/2006/main">
          <a:off x="4937877" y="1452464"/>
          <a:ext cx="590876" cy="31860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$23.1b</a:t>
          </a:r>
        </a:p>
      </cdr:txBody>
    </cdr:sp>
  </cdr:relSizeAnchor>
  <cdr:relSizeAnchor xmlns:cdr="http://schemas.openxmlformats.org/drawingml/2006/chartDrawing">
    <cdr:from>
      <cdr:x>0</cdr:x>
      <cdr:y>0.91719</cdr:y>
    </cdr:from>
    <cdr:to>
      <cdr:x>0.48305</cdr:x>
      <cdr:y>1</cdr:y>
    </cdr:to>
    <cdr:sp macro="" textlink="">
      <cdr:nvSpPr>
        <cdr:cNvPr id="5" name="TextBox 1">
          <a:extLst xmlns:a="http://schemas.openxmlformats.org/drawingml/2006/main">
            <a:ext uri="{FF2B5EF4-FFF2-40B4-BE49-F238E27FC236}">
              <a16:creationId xmlns:a16="http://schemas.microsoft.com/office/drawing/2014/main" id="{7C941FAB-3EAE-4BFA-3549-D6B0521801A2}"/>
            </a:ext>
          </a:extLst>
        </cdr:cNvPr>
        <cdr:cNvSpPr txBox="1"/>
      </cdr:nvSpPr>
      <cdr:spPr>
        <a:xfrm xmlns:a="http://schemas.openxmlformats.org/drawingml/2006/main">
          <a:off x="0" y="1962149"/>
          <a:ext cx="3057525" cy="177165"/>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solidFill>
                <a:schemeClr val="tx1">
                  <a:lumMod val="85000"/>
                  <a:lumOff val="15000"/>
                </a:schemeClr>
              </a:solidFill>
            </a:rPr>
            <a:t>Source: Tourism Research</a:t>
          </a:r>
          <a:r>
            <a:rPr lang="en-AU" sz="1000" baseline="0">
              <a:solidFill>
                <a:schemeClr val="tx1">
                  <a:lumMod val="85000"/>
                  <a:lumOff val="15000"/>
                </a:schemeClr>
              </a:solidFill>
            </a:rPr>
            <a:t> Australia</a:t>
          </a:r>
          <a:endParaRPr lang="en-AU" sz="1000">
            <a:solidFill>
              <a:schemeClr val="tx1">
                <a:lumMod val="85000"/>
                <a:lumOff val="15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0.90885</cdr:y>
    </cdr:from>
    <cdr:to>
      <cdr:x>0.48154</cdr:x>
      <cdr:y>1</cdr:y>
    </cdr:to>
    <cdr:sp macro="" textlink="">
      <cdr:nvSpPr>
        <cdr:cNvPr id="2" name="TextBox 1">
          <a:extLst xmlns:a="http://schemas.openxmlformats.org/drawingml/2006/main">
            <a:ext uri="{FF2B5EF4-FFF2-40B4-BE49-F238E27FC236}">
              <a16:creationId xmlns:a16="http://schemas.microsoft.com/office/drawing/2014/main" id="{039EF977-0032-3D3B-24C2-C612435FE75D}"/>
            </a:ext>
          </a:extLst>
        </cdr:cNvPr>
        <cdr:cNvSpPr txBox="1"/>
      </cdr:nvSpPr>
      <cdr:spPr>
        <a:xfrm xmlns:a="http://schemas.openxmlformats.org/drawingml/2006/main">
          <a:off x="0" y="3272269"/>
          <a:ext cx="3048000" cy="328181"/>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solidFill>
                <a:schemeClr val="tx1">
                  <a:lumMod val="85000"/>
                  <a:lumOff val="15000"/>
                </a:schemeClr>
              </a:solidFill>
            </a:rPr>
            <a:t>Source: Tourism Research</a:t>
          </a:r>
          <a:r>
            <a:rPr lang="en-AU" sz="1000" baseline="0">
              <a:solidFill>
                <a:schemeClr val="tx1">
                  <a:lumMod val="85000"/>
                  <a:lumOff val="15000"/>
                </a:schemeClr>
              </a:solidFill>
            </a:rPr>
            <a:t> Australia</a:t>
          </a:r>
          <a:endParaRPr lang="en-AU" sz="1000">
            <a:solidFill>
              <a:schemeClr val="tx1">
                <a:lumMod val="85000"/>
                <a:lumOff val="15000"/>
              </a:schemeClr>
            </a:solidFill>
          </a:endParaRPr>
        </a:p>
      </cdr:txBody>
    </cdr:sp>
  </cdr:relSizeAnchor>
  <cdr:relSizeAnchor xmlns:cdr="http://schemas.openxmlformats.org/drawingml/2006/chartDrawing">
    <cdr:from>
      <cdr:x>0.89617</cdr:x>
      <cdr:y>0.12434</cdr:y>
    </cdr:from>
    <cdr:to>
      <cdr:x>1</cdr:x>
      <cdr:y>0.19048</cdr:y>
    </cdr:to>
    <cdr:sp macro="" textlink="">
      <cdr:nvSpPr>
        <cdr:cNvPr id="3" name="Text Box 2"/>
        <cdr:cNvSpPr txBox="1"/>
      </cdr:nvSpPr>
      <cdr:spPr>
        <a:xfrm xmlns:a="http://schemas.openxmlformats.org/drawingml/2006/main">
          <a:off x="5672455" y="447675"/>
          <a:ext cx="6572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b="1" kern="1200"/>
            <a:t>$16.3b</a:t>
          </a:r>
        </a:p>
      </cdr:txBody>
    </cdr:sp>
  </cdr:relSizeAnchor>
  <cdr:relSizeAnchor xmlns:cdr="http://schemas.openxmlformats.org/drawingml/2006/chartDrawing">
    <cdr:from>
      <cdr:x>0.88864</cdr:x>
      <cdr:y>0.20723</cdr:y>
    </cdr:from>
    <cdr:to>
      <cdr:x>0.99248</cdr:x>
      <cdr:y>0.27337</cdr:y>
    </cdr:to>
    <cdr:sp macro="" textlink="">
      <cdr:nvSpPr>
        <cdr:cNvPr id="4" name="Text Box 1"/>
        <cdr:cNvSpPr txBox="1"/>
      </cdr:nvSpPr>
      <cdr:spPr>
        <a:xfrm xmlns:a="http://schemas.openxmlformats.org/drawingml/2006/main">
          <a:off x="5624830" y="746125"/>
          <a:ext cx="657225"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kern="1200"/>
            <a:t>$16.0b</a:t>
          </a:r>
        </a:p>
      </cdr:txBody>
    </cdr:sp>
  </cdr:relSizeAnchor>
  <cdr:relSizeAnchor xmlns:cdr="http://schemas.openxmlformats.org/drawingml/2006/chartDrawing">
    <cdr:from>
      <cdr:x>0.76224</cdr:x>
      <cdr:y>0.29718</cdr:y>
    </cdr:from>
    <cdr:to>
      <cdr:x>0.86607</cdr:x>
      <cdr:y>0.36332</cdr:y>
    </cdr:to>
    <cdr:sp macro="" textlink="">
      <cdr:nvSpPr>
        <cdr:cNvPr id="5" name="Text Box 1"/>
        <cdr:cNvSpPr txBox="1"/>
      </cdr:nvSpPr>
      <cdr:spPr>
        <a:xfrm xmlns:a="http://schemas.openxmlformats.org/drawingml/2006/main">
          <a:off x="4824730" y="1069975"/>
          <a:ext cx="657225"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kern="1200"/>
            <a:t>$12.4b</a:t>
          </a:r>
        </a:p>
      </cdr:txBody>
    </cdr:sp>
  </cdr:relSizeAnchor>
  <cdr:relSizeAnchor xmlns:cdr="http://schemas.openxmlformats.org/drawingml/2006/chartDrawing">
    <cdr:from>
      <cdr:x>0.59069</cdr:x>
      <cdr:y>0.37654</cdr:y>
    </cdr:from>
    <cdr:to>
      <cdr:x>0.69452</cdr:x>
      <cdr:y>0.44268</cdr:y>
    </cdr:to>
    <cdr:sp macro="" textlink="">
      <cdr:nvSpPr>
        <cdr:cNvPr id="6" name="Text Box 1"/>
        <cdr:cNvSpPr txBox="1"/>
      </cdr:nvSpPr>
      <cdr:spPr>
        <a:xfrm xmlns:a="http://schemas.openxmlformats.org/drawingml/2006/main">
          <a:off x="3738880" y="1355725"/>
          <a:ext cx="657225"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kern="1200"/>
            <a:t>$7.7b</a:t>
          </a:r>
        </a:p>
      </cdr:txBody>
    </cdr:sp>
  </cdr:relSizeAnchor>
  <cdr:relSizeAnchor xmlns:cdr="http://schemas.openxmlformats.org/drawingml/2006/chartDrawing">
    <cdr:from>
      <cdr:x>0.4378</cdr:x>
      <cdr:y>0.46914</cdr:y>
    </cdr:from>
    <cdr:to>
      <cdr:x>0.54163</cdr:x>
      <cdr:y>0.53527</cdr:y>
    </cdr:to>
    <cdr:sp macro="" textlink="">
      <cdr:nvSpPr>
        <cdr:cNvPr id="7" name="Text Box 1"/>
        <cdr:cNvSpPr txBox="1"/>
      </cdr:nvSpPr>
      <cdr:spPr>
        <a:xfrm xmlns:a="http://schemas.openxmlformats.org/drawingml/2006/main">
          <a:off x="2771140" y="1689100"/>
          <a:ext cx="657225"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kern="1200"/>
            <a:t>$3.4b</a:t>
          </a:r>
        </a:p>
      </cdr:txBody>
    </cdr:sp>
  </cdr:relSizeAnchor>
  <cdr:relSizeAnchor xmlns:cdr="http://schemas.openxmlformats.org/drawingml/2006/chartDrawing">
    <cdr:from>
      <cdr:x>0.43268</cdr:x>
      <cdr:y>0.54586</cdr:y>
    </cdr:from>
    <cdr:to>
      <cdr:x>0.53652</cdr:x>
      <cdr:y>0.61199</cdr:y>
    </cdr:to>
    <cdr:sp macro="" textlink="">
      <cdr:nvSpPr>
        <cdr:cNvPr id="8" name="Text Box 1"/>
        <cdr:cNvSpPr txBox="1"/>
      </cdr:nvSpPr>
      <cdr:spPr>
        <a:xfrm xmlns:a="http://schemas.openxmlformats.org/drawingml/2006/main">
          <a:off x="2738755" y="1965325"/>
          <a:ext cx="657225"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kern="1200"/>
            <a:t>$3.3b</a:t>
          </a:r>
        </a:p>
      </cdr:txBody>
    </cdr:sp>
  </cdr:relSizeAnchor>
  <cdr:relSizeAnchor xmlns:cdr="http://schemas.openxmlformats.org/drawingml/2006/chartDrawing">
    <cdr:from>
      <cdr:x>0.41463</cdr:x>
      <cdr:y>0.62522</cdr:y>
    </cdr:from>
    <cdr:to>
      <cdr:x>0.51846</cdr:x>
      <cdr:y>0.69136</cdr:y>
    </cdr:to>
    <cdr:sp macro="" textlink="">
      <cdr:nvSpPr>
        <cdr:cNvPr id="9" name="Text Box 1"/>
        <cdr:cNvSpPr txBox="1"/>
      </cdr:nvSpPr>
      <cdr:spPr>
        <a:xfrm xmlns:a="http://schemas.openxmlformats.org/drawingml/2006/main">
          <a:off x="2624455" y="2251075"/>
          <a:ext cx="657225"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kern="1200"/>
            <a:t>$2.8b</a:t>
          </a:r>
        </a:p>
      </cdr:txBody>
    </cdr:sp>
  </cdr:relSizeAnchor>
  <cdr:relSizeAnchor xmlns:cdr="http://schemas.openxmlformats.org/drawingml/2006/chartDrawing">
    <cdr:from>
      <cdr:x>0.36647</cdr:x>
      <cdr:y>0.71781</cdr:y>
    </cdr:from>
    <cdr:to>
      <cdr:x>0.4703</cdr:x>
      <cdr:y>0.78395</cdr:y>
    </cdr:to>
    <cdr:sp macro="" textlink="">
      <cdr:nvSpPr>
        <cdr:cNvPr id="10" name="Text Box 1"/>
        <cdr:cNvSpPr txBox="1"/>
      </cdr:nvSpPr>
      <cdr:spPr>
        <a:xfrm xmlns:a="http://schemas.openxmlformats.org/drawingml/2006/main">
          <a:off x="2319655" y="2584450"/>
          <a:ext cx="657225" cy="2381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kern="1200"/>
            <a:t>$1.5b</a:t>
          </a:r>
        </a:p>
      </cdr:txBody>
    </cdr:sp>
  </cdr:relSizeAnchor>
</c:userShapes>
</file>

<file path=word/drawings/drawing5.xml><?xml version="1.0" encoding="utf-8"?>
<c:userShapes xmlns:c="http://schemas.openxmlformats.org/drawingml/2006/chart">
  <cdr:relSizeAnchor xmlns:cdr="http://schemas.openxmlformats.org/drawingml/2006/chartDrawing">
    <cdr:from>
      <cdr:x>0.00041</cdr:x>
      <cdr:y>0.87821</cdr:y>
    </cdr:from>
    <cdr:to>
      <cdr:x>0.4359</cdr:x>
      <cdr:y>0.98011</cdr:y>
    </cdr:to>
    <cdr:sp macro="" textlink="">
      <cdr:nvSpPr>
        <cdr:cNvPr id="2" name="TextBox 1">
          <a:extLst xmlns:a="http://schemas.openxmlformats.org/drawingml/2006/main">
            <a:ext uri="{FF2B5EF4-FFF2-40B4-BE49-F238E27FC236}">
              <a16:creationId xmlns:a16="http://schemas.microsoft.com/office/drawing/2014/main" id="{C5912A1E-AD99-7488-2AEE-29F58FFA8298}"/>
            </a:ext>
          </a:extLst>
        </cdr:cNvPr>
        <cdr:cNvSpPr txBox="1"/>
      </cdr:nvSpPr>
      <cdr:spPr>
        <a:xfrm xmlns:a="http://schemas.openxmlformats.org/drawingml/2006/main">
          <a:off x="2595" y="2178233"/>
          <a:ext cx="2756508" cy="252744"/>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solidFill>
                <a:schemeClr val="tx1">
                  <a:lumMod val="85000"/>
                  <a:lumOff val="15000"/>
                </a:schemeClr>
              </a:solidFill>
            </a:rPr>
            <a:t>Source: Tourism Research</a:t>
          </a:r>
          <a:r>
            <a:rPr lang="en-AU" sz="1000" baseline="0">
              <a:solidFill>
                <a:schemeClr val="tx1">
                  <a:lumMod val="85000"/>
                  <a:lumOff val="15000"/>
                </a:schemeClr>
              </a:solidFill>
            </a:rPr>
            <a:t> Australia</a:t>
          </a:r>
          <a:endParaRPr lang="en-AU" sz="1000">
            <a:solidFill>
              <a:schemeClr val="tx1">
                <a:lumMod val="85000"/>
                <a:lumOff val="15000"/>
              </a:schemeClr>
            </a:solidFill>
          </a:endParaRPr>
        </a:p>
      </cdr:txBody>
    </cdr:sp>
  </cdr:relSizeAnchor>
  <cdr:relSizeAnchor xmlns:cdr="http://schemas.openxmlformats.org/drawingml/2006/chartDrawing">
    <cdr:from>
      <cdr:x>0.74632</cdr:x>
      <cdr:y>0.18285</cdr:y>
    </cdr:from>
    <cdr:to>
      <cdr:x>0.86947</cdr:x>
      <cdr:y>0.31147</cdr:y>
    </cdr:to>
    <cdr:sp macro="" textlink="">
      <cdr:nvSpPr>
        <cdr:cNvPr id="5" name="TextBox 1">
          <a:extLst xmlns:a="http://schemas.openxmlformats.org/drawingml/2006/main">
            <a:ext uri="{FF2B5EF4-FFF2-40B4-BE49-F238E27FC236}">
              <a16:creationId xmlns:a16="http://schemas.microsoft.com/office/drawing/2014/main" id="{D621720C-BFF0-7F10-A7BD-3223EFB5E3D3}"/>
            </a:ext>
          </a:extLst>
        </cdr:cNvPr>
        <cdr:cNvSpPr txBox="1"/>
      </cdr:nvSpPr>
      <cdr:spPr>
        <a:xfrm xmlns:a="http://schemas.openxmlformats.org/drawingml/2006/main">
          <a:off x="6378886" y="485347"/>
          <a:ext cx="1052575" cy="34139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$8.5b</a:t>
          </a:r>
        </a:p>
      </cdr:txBody>
    </cdr:sp>
  </cdr:relSizeAnchor>
  <cdr:relSizeAnchor xmlns:cdr="http://schemas.openxmlformats.org/drawingml/2006/chartDrawing">
    <cdr:from>
      <cdr:x>0.48334</cdr:x>
      <cdr:y>0.40896</cdr:y>
    </cdr:from>
    <cdr:to>
      <cdr:x>0.60649</cdr:x>
      <cdr:y>0.53758</cdr:y>
    </cdr:to>
    <cdr:sp macro="" textlink="">
      <cdr:nvSpPr>
        <cdr:cNvPr id="7" name="TextBox 1">
          <a:extLst xmlns:a="http://schemas.openxmlformats.org/drawingml/2006/main">
            <a:ext uri="{FF2B5EF4-FFF2-40B4-BE49-F238E27FC236}">
              <a16:creationId xmlns:a16="http://schemas.microsoft.com/office/drawing/2014/main" id="{1E678BB1-0727-7020-831F-DE60E1139474}"/>
            </a:ext>
          </a:extLst>
        </cdr:cNvPr>
        <cdr:cNvSpPr txBox="1"/>
      </cdr:nvSpPr>
      <cdr:spPr>
        <a:xfrm xmlns:a="http://schemas.openxmlformats.org/drawingml/2006/main">
          <a:off x="4131171" y="1085507"/>
          <a:ext cx="1052576" cy="34139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$4.3b</a:t>
          </a:r>
        </a:p>
      </cdr:txBody>
    </cdr:sp>
  </cdr:relSizeAnchor>
  <cdr:relSizeAnchor xmlns:cdr="http://schemas.openxmlformats.org/drawingml/2006/chartDrawing">
    <cdr:from>
      <cdr:x>0.85987</cdr:x>
      <cdr:y>0.61735</cdr:y>
    </cdr:from>
    <cdr:to>
      <cdr:x>0.9584</cdr:x>
      <cdr:y>0.74597</cdr:y>
    </cdr:to>
    <cdr:sp macro="" textlink="">
      <cdr:nvSpPr>
        <cdr:cNvPr id="8" name="TextBox 1">
          <a:extLst xmlns:a="http://schemas.openxmlformats.org/drawingml/2006/main">
            <a:ext uri="{FF2B5EF4-FFF2-40B4-BE49-F238E27FC236}">
              <a16:creationId xmlns:a16="http://schemas.microsoft.com/office/drawing/2014/main" id="{1E678BB1-0727-7020-831F-DE60E1139474}"/>
            </a:ext>
          </a:extLst>
        </cdr:cNvPr>
        <cdr:cNvSpPr txBox="1"/>
      </cdr:nvSpPr>
      <cdr:spPr>
        <a:xfrm xmlns:a="http://schemas.openxmlformats.org/drawingml/2006/main">
          <a:off x="7349354" y="1638620"/>
          <a:ext cx="842146" cy="34139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$10.3b</a:t>
          </a:r>
        </a:p>
      </cdr:txBody>
    </cdr:sp>
  </cdr:relSizeAnchor>
</c:userShapes>
</file>

<file path=word/drawings/drawing6.xml><?xml version="1.0" encoding="utf-8"?>
<c:userShapes xmlns:c="http://schemas.openxmlformats.org/drawingml/2006/chart">
  <cdr:relSizeAnchor xmlns:cdr="http://schemas.openxmlformats.org/drawingml/2006/chartDrawing">
    <cdr:from>
      <cdr:x>0.00737</cdr:x>
      <cdr:y>0.90331</cdr:y>
    </cdr:from>
    <cdr:to>
      <cdr:x>0.45144</cdr:x>
      <cdr:y>1</cdr:y>
    </cdr:to>
    <cdr:sp macro="" textlink="">
      <cdr:nvSpPr>
        <cdr:cNvPr id="2" name="TextBox 1">
          <a:extLst xmlns:a="http://schemas.openxmlformats.org/drawingml/2006/main">
            <a:ext uri="{FF2B5EF4-FFF2-40B4-BE49-F238E27FC236}">
              <a16:creationId xmlns:a16="http://schemas.microsoft.com/office/drawing/2014/main" id="{095CB3CC-D071-685B-7828-FF783C61A9B9}"/>
            </a:ext>
          </a:extLst>
        </cdr:cNvPr>
        <cdr:cNvSpPr txBox="1"/>
      </cdr:nvSpPr>
      <cdr:spPr>
        <a:xfrm xmlns:a="http://schemas.openxmlformats.org/drawingml/2006/main">
          <a:off x="46650" y="2873745"/>
          <a:ext cx="2810850" cy="307605"/>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solidFill>
                <a:schemeClr val="tx1">
                  <a:lumMod val="85000"/>
                  <a:lumOff val="15000"/>
                </a:schemeClr>
              </a:solidFill>
            </a:rPr>
            <a:t>Source: Tourism Research</a:t>
          </a:r>
          <a:r>
            <a:rPr lang="en-AU" sz="1000" baseline="0">
              <a:solidFill>
                <a:schemeClr val="tx1">
                  <a:lumMod val="85000"/>
                  <a:lumOff val="15000"/>
                </a:schemeClr>
              </a:solidFill>
            </a:rPr>
            <a:t> Australia</a:t>
          </a:r>
          <a:endParaRPr lang="en-AU" sz="1000">
            <a:solidFill>
              <a:schemeClr val="tx1">
                <a:lumMod val="85000"/>
                <a:lumOff val="15000"/>
              </a:schemeClr>
            </a:solidFill>
          </a:endParaRPr>
        </a:p>
      </cdr:txBody>
    </cdr:sp>
  </cdr:relSizeAnchor>
  <cdr:relSizeAnchor xmlns:cdr="http://schemas.openxmlformats.org/drawingml/2006/chartDrawing">
    <cdr:from>
      <cdr:x>0.88314</cdr:x>
      <cdr:y>0.09485</cdr:y>
    </cdr:from>
    <cdr:to>
      <cdr:x>0.99233</cdr:x>
      <cdr:y>0.20561</cdr:y>
    </cdr:to>
    <cdr:sp macro="" textlink="">
      <cdr:nvSpPr>
        <cdr:cNvPr id="3" name="TextBox 1">
          <a:extLst xmlns:a="http://schemas.openxmlformats.org/drawingml/2006/main">
            <a:ext uri="{FF2B5EF4-FFF2-40B4-BE49-F238E27FC236}">
              <a16:creationId xmlns:a16="http://schemas.microsoft.com/office/drawing/2014/main" id="{43272EA9-744D-661A-740C-B92493811897}"/>
            </a:ext>
          </a:extLst>
        </cdr:cNvPr>
        <cdr:cNvSpPr txBox="1"/>
      </cdr:nvSpPr>
      <cdr:spPr>
        <a:xfrm xmlns:a="http://schemas.openxmlformats.org/drawingml/2006/main">
          <a:off x="7289800" y="288925"/>
          <a:ext cx="901230" cy="33739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$8.6b</a:t>
          </a:r>
        </a:p>
      </cdr:txBody>
    </cdr:sp>
  </cdr:relSizeAnchor>
  <cdr:relSizeAnchor xmlns:cdr="http://schemas.openxmlformats.org/drawingml/2006/chartDrawing">
    <cdr:from>
      <cdr:x>0.82332</cdr:x>
      <cdr:y>0.1729</cdr:y>
    </cdr:from>
    <cdr:to>
      <cdr:x>0.9325</cdr:x>
      <cdr:y>0.28366</cdr:y>
    </cdr:to>
    <cdr:sp macro="" textlink="">
      <cdr:nvSpPr>
        <cdr:cNvPr id="4" name="TextBox 1">
          <a:extLst xmlns:a="http://schemas.openxmlformats.org/drawingml/2006/main">
            <a:ext uri="{FF2B5EF4-FFF2-40B4-BE49-F238E27FC236}">
              <a16:creationId xmlns:a16="http://schemas.microsoft.com/office/drawing/2014/main" id="{EEB71ED7-1CF3-B0BD-31C1-A5C5CAA1D110}"/>
            </a:ext>
          </a:extLst>
        </cdr:cNvPr>
        <cdr:cNvSpPr txBox="1"/>
      </cdr:nvSpPr>
      <cdr:spPr>
        <a:xfrm xmlns:a="http://schemas.openxmlformats.org/drawingml/2006/main">
          <a:off x="5211356" y="470667"/>
          <a:ext cx="691075" cy="3015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$7.6b</a:t>
          </a:r>
        </a:p>
      </cdr:txBody>
    </cdr:sp>
  </cdr:relSizeAnchor>
  <cdr:relSizeAnchor xmlns:cdr="http://schemas.openxmlformats.org/drawingml/2006/chartDrawing">
    <cdr:from>
      <cdr:x>0.6113</cdr:x>
      <cdr:y>0.26291</cdr:y>
    </cdr:from>
    <cdr:to>
      <cdr:x>0.72048</cdr:x>
      <cdr:y>0.37367</cdr:y>
    </cdr:to>
    <cdr:sp macro="" textlink="">
      <cdr:nvSpPr>
        <cdr:cNvPr id="5" name="TextBox 1">
          <a:extLst xmlns:a="http://schemas.openxmlformats.org/drawingml/2006/main">
            <a:ext uri="{FF2B5EF4-FFF2-40B4-BE49-F238E27FC236}">
              <a16:creationId xmlns:a16="http://schemas.microsoft.com/office/drawing/2014/main" id="{EEB71ED7-1CF3-B0BD-31C1-A5C5CAA1D110}"/>
            </a:ext>
          </a:extLst>
        </cdr:cNvPr>
        <cdr:cNvSpPr txBox="1"/>
      </cdr:nvSpPr>
      <cdr:spPr>
        <a:xfrm xmlns:a="http://schemas.openxmlformats.org/drawingml/2006/main">
          <a:off x="3869337" y="715709"/>
          <a:ext cx="691075" cy="3015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$4.0b</a:t>
          </a:r>
        </a:p>
      </cdr:txBody>
    </cdr:sp>
  </cdr:relSizeAnchor>
  <cdr:relSizeAnchor xmlns:cdr="http://schemas.openxmlformats.org/drawingml/2006/chartDrawing">
    <cdr:from>
      <cdr:x>0.51359</cdr:x>
      <cdr:y>0.34403</cdr:y>
    </cdr:from>
    <cdr:to>
      <cdr:x>0.62278</cdr:x>
      <cdr:y>0.4548</cdr:y>
    </cdr:to>
    <cdr:sp macro="" textlink="">
      <cdr:nvSpPr>
        <cdr:cNvPr id="6" name="TextBox 1">
          <a:extLst xmlns:a="http://schemas.openxmlformats.org/drawingml/2006/main">
            <a:ext uri="{FF2B5EF4-FFF2-40B4-BE49-F238E27FC236}">
              <a16:creationId xmlns:a16="http://schemas.microsoft.com/office/drawing/2014/main" id="{EEB71ED7-1CF3-B0BD-31C1-A5C5CAA1D110}"/>
            </a:ext>
          </a:extLst>
        </cdr:cNvPr>
        <cdr:cNvSpPr txBox="1"/>
      </cdr:nvSpPr>
      <cdr:spPr>
        <a:xfrm xmlns:a="http://schemas.openxmlformats.org/drawingml/2006/main">
          <a:off x="3250886" y="1094473"/>
          <a:ext cx="691138" cy="3523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$2.3b</a:t>
          </a:r>
        </a:p>
      </cdr:txBody>
    </cdr:sp>
  </cdr:relSizeAnchor>
  <cdr:relSizeAnchor xmlns:cdr="http://schemas.openxmlformats.org/drawingml/2006/chartDrawing">
    <cdr:from>
      <cdr:x>0.50755</cdr:x>
      <cdr:y>0.42515</cdr:y>
    </cdr:from>
    <cdr:to>
      <cdr:x>0.61673</cdr:x>
      <cdr:y>0.53591</cdr:y>
    </cdr:to>
    <cdr:sp macro="" textlink="">
      <cdr:nvSpPr>
        <cdr:cNvPr id="7" name="TextBox 1">
          <a:extLst xmlns:a="http://schemas.openxmlformats.org/drawingml/2006/main">
            <a:ext uri="{FF2B5EF4-FFF2-40B4-BE49-F238E27FC236}">
              <a16:creationId xmlns:a16="http://schemas.microsoft.com/office/drawing/2014/main" id="{EEB71ED7-1CF3-B0BD-31C1-A5C5CAA1D110}"/>
            </a:ext>
          </a:extLst>
        </cdr:cNvPr>
        <cdr:cNvSpPr txBox="1"/>
      </cdr:nvSpPr>
      <cdr:spPr>
        <a:xfrm xmlns:a="http://schemas.openxmlformats.org/drawingml/2006/main">
          <a:off x="3212620" y="1352538"/>
          <a:ext cx="691074" cy="3523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$2.1b</a:t>
          </a:r>
        </a:p>
      </cdr:txBody>
    </cdr:sp>
  </cdr:relSizeAnchor>
  <cdr:relSizeAnchor xmlns:cdr="http://schemas.openxmlformats.org/drawingml/2006/chartDrawing">
    <cdr:from>
      <cdr:x>0.48659</cdr:x>
      <cdr:y>0.50037</cdr:y>
    </cdr:from>
    <cdr:to>
      <cdr:x>0.59577</cdr:x>
      <cdr:y>0.61114</cdr:y>
    </cdr:to>
    <cdr:sp macro="" textlink="">
      <cdr:nvSpPr>
        <cdr:cNvPr id="8" name="TextBox 1">
          <a:extLst xmlns:a="http://schemas.openxmlformats.org/drawingml/2006/main">
            <a:ext uri="{FF2B5EF4-FFF2-40B4-BE49-F238E27FC236}">
              <a16:creationId xmlns:a16="http://schemas.microsoft.com/office/drawing/2014/main" id="{EEB71ED7-1CF3-B0BD-31C1-A5C5CAA1D110}"/>
            </a:ext>
          </a:extLst>
        </cdr:cNvPr>
        <cdr:cNvSpPr txBox="1"/>
      </cdr:nvSpPr>
      <cdr:spPr>
        <a:xfrm xmlns:a="http://schemas.openxmlformats.org/drawingml/2006/main">
          <a:off x="3079980" y="1591864"/>
          <a:ext cx="691075" cy="3523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$1.7b</a:t>
          </a:r>
        </a:p>
      </cdr:txBody>
    </cdr:sp>
  </cdr:relSizeAnchor>
  <cdr:relSizeAnchor xmlns:cdr="http://schemas.openxmlformats.org/drawingml/2006/chartDrawing">
    <cdr:from>
      <cdr:x>0.46347</cdr:x>
      <cdr:y>0.59302</cdr:y>
    </cdr:from>
    <cdr:to>
      <cdr:x>0.57265</cdr:x>
      <cdr:y>0.70378</cdr:y>
    </cdr:to>
    <cdr:sp macro="" textlink="">
      <cdr:nvSpPr>
        <cdr:cNvPr id="14" name="TextBox 1">
          <a:extLst xmlns:a="http://schemas.openxmlformats.org/drawingml/2006/main">
            <a:ext uri="{FF2B5EF4-FFF2-40B4-BE49-F238E27FC236}">
              <a16:creationId xmlns:a16="http://schemas.microsoft.com/office/drawing/2014/main" id="{8BDD0E61-1A7C-7FC0-DF25-1C4CF3C30892}"/>
            </a:ext>
          </a:extLst>
        </cdr:cNvPr>
        <cdr:cNvSpPr txBox="1"/>
      </cdr:nvSpPr>
      <cdr:spPr>
        <a:xfrm xmlns:a="http://schemas.openxmlformats.org/drawingml/2006/main">
          <a:off x="2933636" y="1886617"/>
          <a:ext cx="691074" cy="3523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$1.4b</a:t>
          </a:r>
        </a:p>
      </cdr:txBody>
    </cdr:sp>
  </cdr:relSizeAnchor>
  <cdr:relSizeAnchor xmlns:cdr="http://schemas.openxmlformats.org/drawingml/2006/chartDrawing">
    <cdr:from>
      <cdr:x>0.44433</cdr:x>
      <cdr:y>0.67088</cdr:y>
    </cdr:from>
    <cdr:to>
      <cdr:x>0.55351</cdr:x>
      <cdr:y>0.78164</cdr:y>
    </cdr:to>
    <cdr:sp macro="" textlink="">
      <cdr:nvSpPr>
        <cdr:cNvPr id="15" name="TextBox 1">
          <a:extLst xmlns:a="http://schemas.openxmlformats.org/drawingml/2006/main">
            <a:ext uri="{FF2B5EF4-FFF2-40B4-BE49-F238E27FC236}">
              <a16:creationId xmlns:a16="http://schemas.microsoft.com/office/drawing/2014/main" id="{8BDD0E61-1A7C-7FC0-DF25-1C4CF3C30892}"/>
            </a:ext>
          </a:extLst>
        </cdr:cNvPr>
        <cdr:cNvSpPr txBox="1"/>
      </cdr:nvSpPr>
      <cdr:spPr>
        <a:xfrm xmlns:a="http://schemas.openxmlformats.org/drawingml/2006/main">
          <a:off x="2812495" y="2134291"/>
          <a:ext cx="691074" cy="3523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$1.2b</a:t>
          </a:r>
        </a:p>
      </cdr:txBody>
    </cdr:sp>
  </cdr:relSizeAnchor>
</c:userShapes>
</file>

<file path=word/drawings/drawing7.xml><?xml version="1.0" encoding="utf-8"?>
<c:userShapes xmlns:c="http://schemas.openxmlformats.org/drawingml/2006/chart">
  <cdr:relSizeAnchor xmlns:cdr="http://schemas.openxmlformats.org/drawingml/2006/chartDrawing">
    <cdr:from>
      <cdr:x>0.00156</cdr:x>
      <cdr:y>0.89049</cdr:y>
    </cdr:from>
    <cdr:to>
      <cdr:x>0.50762</cdr:x>
      <cdr:y>1</cdr:y>
    </cdr:to>
    <cdr:sp macro="" textlink="">
      <cdr:nvSpPr>
        <cdr:cNvPr id="5" name="TextBox 1">
          <a:extLst xmlns:a="http://schemas.openxmlformats.org/drawingml/2006/main">
            <a:ext uri="{FF2B5EF4-FFF2-40B4-BE49-F238E27FC236}">
              <a16:creationId xmlns:a16="http://schemas.microsoft.com/office/drawing/2014/main" id="{8C9E20CD-7E81-6575-8279-52CFE499CEFC}"/>
            </a:ext>
          </a:extLst>
        </cdr:cNvPr>
        <cdr:cNvSpPr txBox="1"/>
      </cdr:nvSpPr>
      <cdr:spPr>
        <a:xfrm xmlns:a="http://schemas.openxmlformats.org/drawingml/2006/main">
          <a:off x="9874" y="2177025"/>
          <a:ext cx="3203226" cy="267725"/>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solidFill>
                <a:schemeClr val="tx1">
                  <a:lumMod val="85000"/>
                  <a:lumOff val="15000"/>
                </a:schemeClr>
              </a:solidFill>
            </a:rPr>
            <a:t>Source: Tourism Research</a:t>
          </a:r>
          <a:r>
            <a:rPr lang="en-AU" sz="1000" baseline="0">
              <a:solidFill>
                <a:schemeClr val="tx1">
                  <a:lumMod val="85000"/>
                  <a:lumOff val="15000"/>
                </a:schemeClr>
              </a:solidFill>
            </a:rPr>
            <a:t> Australia</a:t>
          </a:r>
          <a:endParaRPr lang="en-AU" sz="1000">
            <a:solidFill>
              <a:schemeClr val="tx1">
                <a:lumMod val="85000"/>
                <a:lumOff val="15000"/>
              </a:schemeClr>
            </a:solidFill>
          </a:endParaRPr>
        </a:p>
      </cdr:txBody>
    </cdr:sp>
  </cdr:relSizeAnchor>
  <cdr:relSizeAnchor xmlns:cdr="http://schemas.openxmlformats.org/drawingml/2006/chartDrawing">
    <cdr:from>
      <cdr:x>0.53728</cdr:x>
      <cdr:y>0.15938</cdr:y>
    </cdr:from>
    <cdr:to>
      <cdr:x>0.65409</cdr:x>
      <cdr:y>0.29139</cdr:y>
    </cdr:to>
    <cdr:sp macro="" textlink="">
      <cdr:nvSpPr>
        <cdr:cNvPr id="6" name="TextBox 1">
          <a:extLst xmlns:a="http://schemas.openxmlformats.org/drawingml/2006/main">
            <a:ext uri="{FF2B5EF4-FFF2-40B4-BE49-F238E27FC236}">
              <a16:creationId xmlns:a16="http://schemas.microsoft.com/office/drawing/2014/main" id="{31E2844F-03F6-1169-FE0D-CBFA1EE1A89C}"/>
            </a:ext>
          </a:extLst>
        </cdr:cNvPr>
        <cdr:cNvSpPr txBox="1"/>
      </cdr:nvSpPr>
      <cdr:spPr>
        <a:xfrm xmlns:a="http://schemas.openxmlformats.org/drawingml/2006/main">
          <a:off x="3400801" y="389635"/>
          <a:ext cx="739370" cy="32273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$3.2b</a:t>
          </a:r>
        </a:p>
      </cdr:txBody>
    </cdr:sp>
  </cdr:relSizeAnchor>
  <cdr:relSizeAnchor xmlns:cdr="http://schemas.openxmlformats.org/drawingml/2006/chartDrawing">
    <cdr:from>
      <cdr:x>0.33477</cdr:x>
      <cdr:y>0.57006</cdr:y>
    </cdr:from>
    <cdr:to>
      <cdr:x>0.45158</cdr:x>
      <cdr:y>0.70207</cdr:y>
    </cdr:to>
    <cdr:sp macro="" textlink="">
      <cdr:nvSpPr>
        <cdr:cNvPr id="7" name="TextBox 1">
          <a:extLst xmlns:a="http://schemas.openxmlformats.org/drawingml/2006/main">
            <a:ext uri="{FF2B5EF4-FFF2-40B4-BE49-F238E27FC236}">
              <a16:creationId xmlns:a16="http://schemas.microsoft.com/office/drawing/2014/main" id="{31E2844F-03F6-1169-FE0D-CBFA1EE1A89C}"/>
            </a:ext>
          </a:extLst>
        </cdr:cNvPr>
        <cdr:cNvSpPr txBox="1"/>
      </cdr:nvSpPr>
      <cdr:spPr>
        <a:xfrm xmlns:a="http://schemas.openxmlformats.org/drawingml/2006/main">
          <a:off x="2118959" y="1393665"/>
          <a:ext cx="739370" cy="32273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$1.1b</a:t>
          </a:r>
        </a:p>
      </cdr:txBody>
    </cdr:sp>
  </cdr:relSizeAnchor>
  <cdr:relSizeAnchor xmlns:cdr="http://schemas.openxmlformats.org/drawingml/2006/chartDrawing">
    <cdr:from>
      <cdr:x>0.89249</cdr:x>
      <cdr:y>0.35509</cdr:y>
    </cdr:from>
    <cdr:to>
      <cdr:x>0.99469</cdr:x>
      <cdr:y>0.48709</cdr:y>
    </cdr:to>
    <cdr:sp macro="" textlink="">
      <cdr:nvSpPr>
        <cdr:cNvPr id="8" name="TextBox 1">
          <a:extLst xmlns:a="http://schemas.openxmlformats.org/drawingml/2006/main">
            <a:ext uri="{FF2B5EF4-FFF2-40B4-BE49-F238E27FC236}">
              <a16:creationId xmlns:a16="http://schemas.microsoft.com/office/drawing/2014/main" id="{31E2844F-03F6-1169-FE0D-CBFA1EE1A89C}"/>
            </a:ext>
          </a:extLst>
        </cdr:cNvPr>
        <cdr:cNvSpPr txBox="1"/>
      </cdr:nvSpPr>
      <cdr:spPr>
        <a:xfrm xmlns:a="http://schemas.openxmlformats.org/drawingml/2006/main">
          <a:off x="5649146" y="868109"/>
          <a:ext cx="646893" cy="32270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$7.1b</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0.87878</cdr:y>
    </cdr:from>
    <cdr:to>
      <cdr:x>0.46148</cdr:x>
      <cdr:y>0.98821</cdr:y>
    </cdr:to>
    <cdr:sp macro="" textlink="">
      <cdr:nvSpPr>
        <cdr:cNvPr id="2" name="TextBox 1">
          <a:extLst xmlns:a="http://schemas.openxmlformats.org/drawingml/2006/main">
            <a:ext uri="{FF2B5EF4-FFF2-40B4-BE49-F238E27FC236}">
              <a16:creationId xmlns:a16="http://schemas.microsoft.com/office/drawing/2014/main" id="{2364C06D-132A-D300-B8DE-6D4084807A65}"/>
            </a:ext>
          </a:extLst>
        </cdr:cNvPr>
        <cdr:cNvSpPr txBox="1"/>
      </cdr:nvSpPr>
      <cdr:spPr>
        <a:xfrm xmlns:a="http://schemas.openxmlformats.org/drawingml/2006/main">
          <a:off x="0" y="2081434"/>
          <a:ext cx="2921000" cy="259191"/>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solidFill>
                <a:schemeClr val="tx1">
                  <a:lumMod val="75000"/>
                  <a:lumOff val="25000"/>
                </a:schemeClr>
              </a:solidFill>
            </a:rPr>
            <a:t>Source: Tourism Research</a:t>
          </a:r>
          <a:r>
            <a:rPr lang="en-AU" sz="1000" baseline="0">
              <a:solidFill>
                <a:schemeClr val="tx1">
                  <a:lumMod val="75000"/>
                  <a:lumOff val="25000"/>
                </a:schemeClr>
              </a:solidFill>
            </a:rPr>
            <a:t> Australia</a:t>
          </a:r>
          <a:endParaRPr lang="en-AU" sz="1000">
            <a:solidFill>
              <a:schemeClr val="tx1">
                <a:lumMod val="75000"/>
                <a:lumOff val="25000"/>
              </a:schemeClr>
            </a:solidFill>
          </a:endParaRPr>
        </a:p>
      </cdr:txBody>
    </cdr:sp>
  </cdr:relSizeAnchor>
  <cdr:relSizeAnchor xmlns:cdr="http://schemas.openxmlformats.org/drawingml/2006/chartDrawing">
    <cdr:from>
      <cdr:x>0.53269</cdr:x>
      <cdr:y>0.14232</cdr:y>
    </cdr:from>
    <cdr:to>
      <cdr:x>0.63943</cdr:x>
      <cdr:y>0.27393</cdr:y>
    </cdr:to>
    <cdr:sp macro="" textlink="">
      <cdr:nvSpPr>
        <cdr:cNvPr id="4" name="TextBox 1">
          <a:extLst xmlns:a="http://schemas.openxmlformats.org/drawingml/2006/main">
            <a:ext uri="{FF2B5EF4-FFF2-40B4-BE49-F238E27FC236}">
              <a16:creationId xmlns:a16="http://schemas.microsoft.com/office/drawing/2014/main" id="{0478CCF9-DFDC-E6F8-DA11-EB72F45FDDA9}"/>
            </a:ext>
          </a:extLst>
        </cdr:cNvPr>
        <cdr:cNvSpPr txBox="1"/>
      </cdr:nvSpPr>
      <cdr:spPr>
        <a:xfrm xmlns:a="http://schemas.openxmlformats.org/drawingml/2006/main">
          <a:off x="3371757" y="337099"/>
          <a:ext cx="675630" cy="3117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$25.8b</a:t>
          </a:r>
        </a:p>
      </cdr:txBody>
    </cdr:sp>
  </cdr:relSizeAnchor>
  <cdr:relSizeAnchor xmlns:cdr="http://schemas.openxmlformats.org/drawingml/2006/chartDrawing">
    <cdr:from>
      <cdr:x>0.87821</cdr:x>
      <cdr:y>0.34593</cdr:y>
    </cdr:from>
    <cdr:to>
      <cdr:x>1</cdr:x>
      <cdr:y>0.47754</cdr:y>
    </cdr:to>
    <cdr:sp macro="" textlink="">
      <cdr:nvSpPr>
        <cdr:cNvPr id="5" name="TextBox 1">
          <a:extLst xmlns:a="http://schemas.openxmlformats.org/drawingml/2006/main">
            <a:ext uri="{FF2B5EF4-FFF2-40B4-BE49-F238E27FC236}">
              <a16:creationId xmlns:a16="http://schemas.microsoft.com/office/drawing/2014/main" id="{0478CCF9-DFDC-E6F8-DA11-EB72F45FDDA9}"/>
            </a:ext>
          </a:extLst>
        </cdr:cNvPr>
        <cdr:cNvSpPr txBox="1"/>
      </cdr:nvSpPr>
      <cdr:spPr>
        <a:xfrm xmlns:a="http://schemas.openxmlformats.org/drawingml/2006/main">
          <a:off x="5558800" y="819348"/>
          <a:ext cx="770880" cy="3117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$53.8b</a:t>
          </a:r>
        </a:p>
      </cdr:txBody>
    </cdr:sp>
  </cdr:relSizeAnchor>
  <cdr:relSizeAnchor xmlns:cdr="http://schemas.openxmlformats.org/drawingml/2006/chartDrawing">
    <cdr:from>
      <cdr:x>0.28282</cdr:x>
      <cdr:y>0.56269</cdr:y>
    </cdr:from>
    <cdr:to>
      <cdr:x>0.41834</cdr:x>
      <cdr:y>0.69431</cdr:y>
    </cdr:to>
    <cdr:sp macro="" textlink="">
      <cdr:nvSpPr>
        <cdr:cNvPr id="6" name="TextBox 1">
          <a:extLst xmlns:a="http://schemas.openxmlformats.org/drawingml/2006/main">
            <a:ext uri="{FF2B5EF4-FFF2-40B4-BE49-F238E27FC236}">
              <a16:creationId xmlns:a16="http://schemas.microsoft.com/office/drawing/2014/main" id="{0478CCF9-DFDC-E6F8-DA11-EB72F45FDDA9}"/>
            </a:ext>
          </a:extLst>
        </cdr:cNvPr>
        <cdr:cNvSpPr txBox="1"/>
      </cdr:nvSpPr>
      <cdr:spPr>
        <a:xfrm xmlns:a="http://schemas.openxmlformats.org/drawingml/2006/main">
          <a:off x="1790158" y="1332755"/>
          <a:ext cx="857792" cy="31174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1">
              <a:latin typeface="Verdana" panose="020B0604030504040204" pitchFamily="34" charset="0"/>
              <a:ea typeface="Verdana" panose="020B0604030504040204" pitchFamily="34" charset="0"/>
            </a:rPr>
            <a:t>$5.7b</a:t>
          </a:r>
        </a:p>
      </cdr:txBody>
    </cdr:sp>
  </cdr:relSizeAnchor>
</c:userShape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7" ma:contentTypeDescription="Create a new document." ma:contentTypeScope="" ma:versionID="a57ac30bd413600084034bee7a7b07dd">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f62584a38ae0c9d02fe630e0355a3865"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193d32-96af-42bb-9a8d-e389b6b013dc">
      <Terms xmlns="http://schemas.microsoft.com/office/infopath/2007/PartnerControls"/>
    </lcf76f155ced4ddcb4097134ff3c332f>
    <TaxCatchAll xmlns="932d29ee-28c9-41bc-b9e4-7f2eba331d28" xsi:nil="true"/>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3.xml><?xml version="1.0" encoding="utf-8"?>
<ds:datastoreItem xmlns:ds="http://schemas.openxmlformats.org/officeDocument/2006/customXml" ds:itemID="{323C49B6-D888-433B-BDF0-A45C4CEB0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E75B8-1135-4512-93FA-FCDD832F13E7}">
  <ds:schemaRefs>
    <ds:schemaRef ds:uri="http://purl.org/dc/terms/"/>
    <ds:schemaRef ds:uri="932d29ee-28c9-41bc-b9e4-7f2eba331d28"/>
    <ds:schemaRef ds:uri="http://schemas.microsoft.com/office/2006/documentManagement/types"/>
    <ds:schemaRef ds:uri="84193d32-96af-42bb-9a8d-e389b6b013dc"/>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TRA Website Publications.dotx</Template>
  <TotalTime>31</TotalTime>
  <Pages>25</Pages>
  <Words>6545</Words>
  <Characters>37310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Tourism Investment Montor 2023-2024</vt:lpstr>
    </vt:vector>
  </TitlesOfParts>
  <Company/>
  <LinksUpToDate>false</LinksUpToDate>
  <CharactersWithSpaces>43768</CharactersWithSpaces>
  <SharedDoc>false</SharedDoc>
  <HLinks>
    <vt:vector size="156" baseType="variant">
      <vt:variant>
        <vt:i4>5111887</vt:i4>
      </vt:variant>
      <vt:variant>
        <vt:i4>126</vt:i4>
      </vt:variant>
      <vt:variant>
        <vt:i4>0</vt:i4>
      </vt:variant>
      <vt:variant>
        <vt:i4>5</vt:i4>
      </vt:variant>
      <vt:variant>
        <vt:lpwstr>https://www.austrade.gov.au/en/how-we-can-help-you/programs-and-services/thrive-2030-strategy</vt:lpwstr>
      </vt:variant>
      <vt:variant>
        <vt:lpwstr/>
      </vt:variant>
      <vt:variant>
        <vt:i4>655430</vt:i4>
      </vt:variant>
      <vt:variant>
        <vt:i4>123</vt:i4>
      </vt:variant>
      <vt:variant>
        <vt:i4>0</vt:i4>
      </vt:variant>
      <vt:variant>
        <vt:i4>5</vt:i4>
      </vt:variant>
      <vt:variant>
        <vt:lpwstr>https://www.tra.gov.au/en/economic-analysis/tourism-forecasts</vt:lpwstr>
      </vt:variant>
      <vt:variant>
        <vt:lpwstr/>
      </vt:variant>
      <vt:variant>
        <vt:i4>1179710</vt:i4>
      </vt:variant>
      <vt:variant>
        <vt:i4>116</vt:i4>
      </vt:variant>
      <vt:variant>
        <vt:i4>0</vt:i4>
      </vt:variant>
      <vt:variant>
        <vt:i4>5</vt:i4>
      </vt:variant>
      <vt:variant>
        <vt:lpwstr/>
      </vt:variant>
      <vt:variant>
        <vt:lpwstr>_Toc190084787</vt:lpwstr>
      </vt:variant>
      <vt:variant>
        <vt:i4>1179710</vt:i4>
      </vt:variant>
      <vt:variant>
        <vt:i4>110</vt:i4>
      </vt:variant>
      <vt:variant>
        <vt:i4>0</vt:i4>
      </vt:variant>
      <vt:variant>
        <vt:i4>5</vt:i4>
      </vt:variant>
      <vt:variant>
        <vt:lpwstr/>
      </vt:variant>
      <vt:variant>
        <vt:lpwstr>_Toc190084783</vt:lpwstr>
      </vt:variant>
      <vt:variant>
        <vt:i4>1179710</vt:i4>
      </vt:variant>
      <vt:variant>
        <vt:i4>104</vt:i4>
      </vt:variant>
      <vt:variant>
        <vt:i4>0</vt:i4>
      </vt:variant>
      <vt:variant>
        <vt:i4>5</vt:i4>
      </vt:variant>
      <vt:variant>
        <vt:lpwstr/>
      </vt:variant>
      <vt:variant>
        <vt:lpwstr>_Toc190084782</vt:lpwstr>
      </vt:variant>
      <vt:variant>
        <vt:i4>1900606</vt:i4>
      </vt:variant>
      <vt:variant>
        <vt:i4>98</vt:i4>
      </vt:variant>
      <vt:variant>
        <vt:i4>0</vt:i4>
      </vt:variant>
      <vt:variant>
        <vt:i4>5</vt:i4>
      </vt:variant>
      <vt:variant>
        <vt:lpwstr/>
      </vt:variant>
      <vt:variant>
        <vt:lpwstr>_Toc190084779</vt:lpwstr>
      </vt:variant>
      <vt:variant>
        <vt:i4>1900606</vt:i4>
      </vt:variant>
      <vt:variant>
        <vt:i4>92</vt:i4>
      </vt:variant>
      <vt:variant>
        <vt:i4>0</vt:i4>
      </vt:variant>
      <vt:variant>
        <vt:i4>5</vt:i4>
      </vt:variant>
      <vt:variant>
        <vt:lpwstr/>
      </vt:variant>
      <vt:variant>
        <vt:lpwstr>_Toc190084778</vt:lpwstr>
      </vt:variant>
      <vt:variant>
        <vt:i4>1900606</vt:i4>
      </vt:variant>
      <vt:variant>
        <vt:i4>86</vt:i4>
      </vt:variant>
      <vt:variant>
        <vt:i4>0</vt:i4>
      </vt:variant>
      <vt:variant>
        <vt:i4>5</vt:i4>
      </vt:variant>
      <vt:variant>
        <vt:lpwstr/>
      </vt:variant>
      <vt:variant>
        <vt:lpwstr>_Toc190084775</vt:lpwstr>
      </vt:variant>
      <vt:variant>
        <vt:i4>1900606</vt:i4>
      </vt:variant>
      <vt:variant>
        <vt:i4>80</vt:i4>
      </vt:variant>
      <vt:variant>
        <vt:i4>0</vt:i4>
      </vt:variant>
      <vt:variant>
        <vt:i4>5</vt:i4>
      </vt:variant>
      <vt:variant>
        <vt:lpwstr/>
      </vt:variant>
      <vt:variant>
        <vt:lpwstr>_Toc190084771</vt:lpwstr>
      </vt:variant>
      <vt:variant>
        <vt:i4>1835070</vt:i4>
      </vt:variant>
      <vt:variant>
        <vt:i4>74</vt:i4>
      </vt:variant>
      <vt:variant>
        <vt:i4>0</vt:i4>
      </vt:variant>
      <vt:variant>
        <vt:i4>5</vt:i4>
      </vt:variant>
      <vt:variant>
        <vt:lpwstr/>
      </vt:variant>
      <vt:variant>
        <vt:lpwstr>_Toc190084768</vt:lpwstr>
      </vt:variant>
      <vt:variant>
        <vt:i4>2031678</vt:i4>
      </vt:variant>
      <vt:variant>
        <vt:i4>68</vt:i4>
      </vt:variant>
      <vt:variant>
        <vt:i4>0</vt:i4>
      </vt:variant>
      <vt:variant>
        <vt:i4>5</vt:i4>
      </vt:variant>
      <vt:variant>
        <vt:lpwstr/>
      </vt:variant>
      <vt:variant>
        <vt:lpwstr>_Toc190084759</vt:lpwstr>
      </vt:variant>
      <vt:variant>
        <vt:i4>2031678</vt:i4>
      </vt:variant>
      <vt:variant>
        <vt:i4>62</vt:i4>
      </vt:variant>
      <vt:variant>
        <vt:i4>0</vt:i4>
      </vt:variant>
      <vt:variant>
        <vt:i4>5</vt:i4>
      </vt:variant>
      <vt:variant>
        <vt:lpwstr/>
      </vt:variant>
      <vt:variant>
        <vt:lpwstr>_Toc190084758</vt:lpwstr>
      </vt:variant>
      <vt:variant>
        <vt:i4>2031678</vt:i4>
      </vt:variant>
      <vt:variant>
        <vt:i4>56</vt:i4>
      </vt:variant>
      <vt:variant>
        <vt:i4>0</vt:i4>
      </vt:variant>
      <vt:variant>
        <vt:i4>5</vt:i4>
      </vt:variant>
      <vt:variant>
        <vt:lpwstr/>
      </vt:variant>
      <vt:variant>
        <vt:lpwstr>_Toc190084757</vt:lpwstr>
      </vt:variant>
      <vt:variant>
        <vt:i4>2031678</vt:i4>
      </vt:variant>
      <vt:variant>
        <vt:i4>50</vt:i4>
      </vt:variant>
      <vt:variant>
        <vt:i4>0</vt:i4>
      </vt:variant>
      <vt:variant>
        <vt:i4>5</vt:i4>
      </vt:variant>
      <vt:variant>
        <vt:lpwstr/>
      </vt:variant>
      <vt:variant>
        <vt:lpwstr>_Toc190084756</vt:lpwstr>
      </vt:variant>
      <vt:variant>
        <vt:i4>2031678</vt:i4>
      </vt:variant>
      <vt:variant>
        <vt:i4>44</vt:i4>
      </vt:variant>
      <vt:variant>
        <vt:i4>0</vt:i4>
      </vt:variant>
      <vt:variant>
        <vt:i4>5</vt:i4>
      </vt:variant>
      <vt:variant>
        <vt:lpwstr/>
      </vt:variant>
      <vt:variant>
        <vt:lpwstr>_Toc190084755</vt:lpwstr>
      </vt:variant>
      <vt:variant>
        <vt:i4>2031678</vt:i4>
      </vt:variant>
      <vt:variant>
        <vt:i4>38</vt:i4>
      </vt:variant>
      <vt:variant>
        <vt:i4>0</vt:i4>
      </vt:variant>
      <vt:variant>
        <vt:i4>5</vt:i4>
      </vt:variant>
      <vt:variant>
        <vt:lpwstr/>
      </vt:variant>
      <vt:variant>
        <vt:lpwstr>_Toc190084754</vt:lpwstr>
      </vt:variant>
      <vt:variant>
        <vt:i4>2031678</vt:i4>
      </vt:variant>
      <vt:variant>
        <vt:i4>32</vt:i4>
      </vt:variant>
      <vt:variant>
        <vt:i4>0</vt:i4>
      </vt:variant>
      <vt:variant>
        <vt:i4>5</vt:i4>
      </vt:variant>
      <vt:variant>
        <vt:lpwstr/>
      </vt:variant>
      <vt:variant>
        <vt:lpwstr>_Toc190084753</vt:lpwstr>
      </vt:variant>
      <vt:variant>
        <vt:i4>2031678</vt:i4>
      </vt:variant>
      <vt:variant>
        <vt:i4>26</vt:i4>
      </vt:variant>
      <vt:variant>
        <vt:i4>0</vt:i4>
      </vt:variant>
      <vt:variant>
        <vt:i4>5</vt:i4>
      </vt:variant>
      <vt:variant>
        <vt:lpwstr/>
      </vt:variant>
      <vt:variant>
        <vt:lpwstr>_Toc190084752</vt:lpwstr>
      </vt:variant>
      <vt:variant>
        <vt:i4>2031678</vt:i4>
      </vt:variant>
      <vt:variant>
        <vt:i4>20</vt:i4>
      </vt:variant>
      <vt:variant>
        <vt:i4>0</vt:i4>
      </vt:variant>
      <vt:variant>
        <vt:i4>5</vt:i4>
      </vt:variant>
      <vt:variant>
        <vt:lpwstr/>
      </vt:variant>
      <vt:variant>
        <vt:lpwstr>_Toc190084751</vt:lpwstr>
      </vt:variant>
      <vt:variant>
        <vt:i4>4915212</vt:i4>
      </vt:variant>
      <vt:variant>
        <vt:i4>15</vt:i4>
      </vt:variant>
      <vt:variant>
        <vt:i4>0</vt:i4>
      </vt:variant>
      <vt:variant>
        <vt:i4>5</vt:i4>
      </vt:variant>
      <vt:variant>
        <vt:lpwstr>C:\Users\corrine-rose\AppData\Local\Microsoft\Windows\INetCache\Content.Outlook\2Z3XW8LL\pmc.gov.au\ government\commonwealth-coat-arms</vt:lpwstr>
      </vt:variant>
      <vt:variant>
        <vt:lpwstr/>
      </vt:variant>
      <vt:variant>
        <vt:i4>4259898</vt:i4>
      </vt:variant>
      <vt:variant>
        <vt:i4>12</vt:i4>
      </vt:variant>
      <vt:variant>
        <vt:i4>0</vt:i4>
      </vt:variant>
      <vt:variant>
        <vt:i4>5</vt:i4>
      </vt:variant>
      <vt:variant>
        <vt:lpwstr>mailto:advisory@austrade.gov.au</vt:lpwstr>
      </vt:variant>
      <vt:variant>
        <vt:lpwstr/>
      </vt:variant>
      <vt:variant>
        <vt:i4>4980853</vt:i4>
      </vt:variant>
      <vt:variant>
        <vt:i4>9</vt:i4>
      </vt:variant>
      <vt:variant>
        <vt:i4>0</vt:i4>
      </vt:variant>
      <vt:variant>
        <vt:i4>5</vt:i4>
      </vt:variant>
      <vt:variant>
        <vt:lpwstr>mailto:tourism.research@tra.gov.au</vt:lpwstr>
      </vt:variant>
      <vt:variant>
        <vt:lpwstr/>
      </vt:variant>
      <vt:variant>
        <vt:i4>2097189</vt:i4>
      </vt:variant>
      <vt:variant>
        <vt:i4>6</vt:i4>
      </vt:variant>
      <vt:variant>
        <vt:i4>0</vt:i4>
      </vt:variant>
      <vt:variant>
        <vt:i4>5</vt:i4>
      </vt:variant>
      <vt:variant>
        <vt:lpwstr>https://www.tra.gov.au/</vt:lpwstr>
      </vt:variant>
      <vt:variant>
        <vt:lpwstr/>
      </vt:variant>
      <vt:variant>
        <vt:i4>6357048</vt:i4>
      </vt:variant>
      <vt:variant>
        <vt:i4>3</vt:i4>
      </vt:variant>
      <vt:variant>
        <vt:i4>0</vt:i4>
      </vt:variant>
      <vt:variant>
        <vt:i4>5</vt:i4>
      </vt:variant>
      <vt:variant>
        <vt:lpwstr>http://www.tra.gov.au/</vt:lpwstr>
      </vt:variant>
      <vt:variant>
        <vt:lpwstr/>
      </vt:variant>
      <vt:variant>
        <vt:i4>4980853</vt:i4>
      </vt:variant>
      <vt:variant>
        <vt:i4>0</vt:i4>
      </vt:variant>
      <vt:variant>
        <vt:i4>0</vt:i4>
      </vt:variant>
      <vt:variant>
        <vt:i4>5</vt:i4>
      </vt:variant>
      <vt:variant>
        <vt:lpwstr>mailto:tourism.research@tra.gov.au</vt:lpwstr>
      </vt:variant>
      <vt:variant>
        <vt:lpwstr/>
      </vt:variant>
      <vt:variant>
        <vt:i4>2359405</vt:i4>
      </vt:variant>
      <vt:variant>
        <vt:i4>0</vt:i4>
      </vt:variant>
      <vt:variant>
        <vt:i4>0</vt:i4>
      </vt:variant>
      <vt:variant>
        <vt:i4>5</vt:i4>
      </vt:variant>
      <vt:variant>
        <vt:lpwstr>https://www.abs.gov.au/media-centre/media-releases/discretionary-spending-third-straight-month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Investment Montor 2023-2024</dc:title>
  <dc:subject/>
  <dc:creator>Australian Trade and Investment Commission - Austrade) </dc:creator>
  <cp:keywords/>
  <dc:description/>
  <cp:lastModifiedBy>Corrine-Rose [Brisbane]</cp:lastModifiedBy>
  <cp:revision>33</cp:revision>
  <dcterms:created xsi:type="dcterms:W3CDTF">2025-02-26T03:19:00Z</dcterms:created>
  <dcterms:modified xsi:type="dcterms:W3CDTF">2025-02-26T23:00:00Z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342ae753,709a3180,b8a27e0</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4202c12e,701a240d,32a53727</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2024-10-14T02:54:26Z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77bad07d-abd2-4c39-918e-f5981cacf323</vt:lpwstr>
  </property>
  <property fmtid="{D5CDD505-2E9C-101B-9397-08002B2CF9AE}" pid="33" name="MSIP_Label_72160a83-df68-4146-9dd5-ccaae79426db_ContentBits">
    <vt:lpwstr>3</vt:lpwstr>
  </property>
</Properties>
</file>